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7F2" w:rsidRPr="00A037F2" w:rsidRDefault="00A037F2" w:rsidP="00A037F2">
      <w:pPr>
        <w:ind w:left="2552" w:right="2550"/>
        <w:jc w:val="both"/>
        <w:rPr>
          <w:rFonts w:ascii="Tahoma" w:hAnsi="Tahoma" w:cs="Tahoma"/>
          <w:i/>
          <w:sz w:val="22"/>
          <w:szCs w:val="22"/>
        </w:rPr>
      </w:pPr>
      <w:r w:rsidRPr="00A037F2">
        <w:rPr>
          <w:rFonts w:ascii="Tahoma" w:hAnsi="Tahoma" w:cs="Tahoma"/>
          <w:b/>
          <w:i/>
          <w:sz w:val="22"/>
          <w:szCs w:val="22"/>
        </w:rPr>
        <w:t>Sumilla:</w:t>
      </w:r>
      <w:r w:rsidRPr="00A037F2">
        <w:rPr>
          <w:rFonts w:ascii="Tahoma" w:hAnsi="Tahoma" w:cs="Tahoma"/>
          <w:i/>
          <w:sz w:val="22"/>
          <w:szCs w:val="22"/>
        </w:rPr>
        <w:t xml:space="preserve"> “No es pasible de sanción el postor, que dentro de su Propuesta Técnica presenta documentos de cuyo análisis se advierte la no vulneración del Principio de Presunción de Veracidad.”</w:t>
      </w:r>
    </w:p>
    <w:p w:rsidR="00A037F2" w:rsidRPr="00A037F2" w:rsidRDefault="00A037F2" w:rsidP="00A037F2">
      <w:pPr>
        <w:ind w:left="2268" w:right="1274"/>
        <w:jc w:val="both"/>
        <w:rPr>
          <w:rFonts w:ascii="Tahoma" w:hAnsi="Tahoma" w:cs="Tahoma"/>
          <w:i/>
          <w:sz w:val="22"/>
          <w:szCs w:val="22"/>
        </w:rPr>
      </w:pPr>
    </w:p>
    <w:p w:rsidR="00A037F2" w:rsidRPr="00A037F2" w:rsidRDefault="00A037F2" w:rsidP="00A037F2">
      <w:pPr>
        <w:pStyle w:val="Textoindependiente3"/>
        <w:spacing w:after="0"/>
        <w:ind w:left="5387"/>
        <w:jc w:val="both"/>
        <w:rPr>
          <w:rFonts w:ascii="Tahoma" w:hAnsi="Tahoma" w:cs="Tahoma"/>
          <w:b/>
          <w:sz w:val="22"/>
          <w:szCs w:val="22"/>
        </w:rPr>
      </w:pPr>
      <w:r w:rsidRPr="00A037F2">
        <w:rPr>
          <w:rFonts w:ascii="Tahoma" w:hAnsi="Tahoma" w:cs="Tahoma"/>
          <w:b/>
          <w:sz w:val="22"/>
          <w:szCs w:val="22"/>
        </w:rPr>
        <w:t>Lima,</w:t>
      </w:r>
      <w:r w:rsidR="009D3DD3">
        <w:rPr>
          <w:rFonts w:ascii="Tahoma" w:hAnsi="Tahoma" w:cs="Tahoma"/>
          <w:b/>
          <w:sz w:val="22"/>
          <w:szCs w:val="22"/>
        </w:rPr>
        <w:t xml:space="preserve"> 27 de Julio de 2011</w:t>
      </w:r>
    </w:p>
    <w:p w:rsidR="00A037F2" w:rsidRPr="00A037F2" w:rsidRDefault="00A037F2" w:rsidP="00A037F2">
      <w:pPr>
        <w:pStyle w:val="Textoindependiente3"/>
        <w:spacing w:after="0"/>
        <w:ind w:left="5387"/>
        <w:jc w:val="both"/>
        <w:rPr>
          <w:rFonts w:ascii="Tahoma" w:hAnsi="Tahoma" w:cs="Tahoma"/>
          <w:b/>
          <w:sz w:val="22"/>
          <w:szCs w:val="22"/>
        </w:rPr>
      </w:pPr>
    </w:p>
    <w:p w:rsidR="00A037F2" w:rsidRPr="00A037F2" w:rsidRDefault="00A037F2" w:rsidP="00A037F2">
      <w:pPr>
        <w:ind w:left="567"/>
        <w:contextualSpacing/>
        <w:jc w:val="both"/>
        <w:rPr>
          <w:rFonts w:ascii="Tahoma" w:hAnsi="Tahoma" w:cs="Tahoma"/>
          <w:sz w:val="22"/>
          <w:szCs w:val="22"/>
        </w:rPr>
      </w:pPr>
      <w:r w:rsidRPr="00A037F2">
        <w:rPr>
          <w:rFonts w:ascii="Tahoma" w:hAnsi="Tahoma" w:cs="Tahoma"/>
          <w:b/>
          <w:sz w:val="22"/>
          <w:szCs w:val="22"/>
        </w:rPr>
        <w:t xml:space="preserve">Visto </w:t>
      </w:r>
      <w:r w:rsidRPr="00A037F2">
        <w:rPr>
          <w:rFonts w:ascii="Tahoma" w:hAnsi="Tahoma" w:cs="Tahoma"/>
          <w:sz w:val="22"/>
          <w:szCs w:val="22"/>
        </w:rPr>
        <w:t xml:space="preserve">en sesión de fecha 25 de julio de 2011 la Primera Sala del Tribunal de Contrataciones del Estado el Expediente N° 1029-2010-TC; sobre el procedimiento administrativo sancionador iniciado contra el Postor J&amp;N SEGURIDAD Y VIGILANCIA PRIVADA S.A.C., </w:t>
      </w:r>
      <w:r w:rsidRPr="00A037F2">
        <w:rPr>
          <w:rFonts w:ascii="Tahoma" w:hAnsi="Tahoma" w:cs="Tahoma"/>
          <w:color w:val="000000" w:themeColor="text1"/>
          <w:sz w:val="22"/>
          <w:szCs w:val="22"/>
          <w:lang w:val="es-MX"/>
        </w:rPr>
        <w:t xml:space="preserve"> por la supuesta responsabilidad en la no suscripción injustificada de contrato con </w:t>
      </w:r>
      <w:r w:rsidRPr="00A037F2">
        <w:rPr>
          <w:rFonts w:ascii="Tahoma" w:hAnsi="Tahoma" w:cs="Tahoma"/>
          <w:sz w:val="22"/>
          <w:szCs w:val="22"/>
        </w:rPr>
        <w:t xml:space="preserve">el </w:t>
      </w:r>
      <w:r w:rsidRPr="00A037F2">
        <w:rPr>
          <w:rFonts w:ascii="Tahoma" w:hAnsi="Tahoma" w:cs="Tahoma"/>
          <w:sz w:val="22"/>
          <w:szCs w:val="22"/>
          <w:lang w:val="es-PE"/>
        </w:rPr>
        <w:t>Fondo Nacional de Financiamiento de la Actividad Empresarial - FONAFE</w:t>
      </w:r>
      <w:r w:rsidRPr="00A037F2">
        <w:rPr>
          <w:rFonts w:ascii="Tahoma" w:hAnsi="Tahoma" w:cs="Tahoma"/>
          <w:sz w:val="22"/>
          <w:szCs w:val="22"/>
        </w:rPr>
        <w:t>, en la Adjudicación Directa Pública Nº 003-2010-FONAFE y en atención a los siguientes:</w:t>
      </w:r>
    </w:p>
    <w:p w:rsidR="00A037F2" w:rsidRPr="00A037F2" w:rsidRDefault="00A037F2" w:rsidP="00A037F2">
      <w:pPr>
        <w:ind w:firstLine="567"/>
        <w:contextualSpacing/>
        <w:jc w:val="both"/>
        <w:rPr>
          <w:rFonts w:ascii="Tahoma" w:hAnsi="Tahoma" w:cs="Tahoma"/>
          <w:b/>
          <w:sz w:val="22"/>
          <w:szCs w:val="22"/>
          <w:lang w:val="es-ES_tradnl"/>
        </w:rPr>
      </w:pPr>
    </w:p>
    <w:p w:rsidR="00A037F2" w:rsidRPr="00A037F2" w:rsidRDefault="00A037F2" w:rsidP="00A037F2">
      <w:pPr>
        <w:pStyle w:val="Prrafodelista"/>
        <w:ind w:left="567"/>
        <w:rPr>
          <w:rFonts w:ascii="Tahoma" w:hAnsi="Tahoma" w:cs="Tahoma"/>
          <w:b/>
          <w:sz w:val="22"/>
          <w:szCs w:val="22"/>
        </w:rPr>
      </w:pPr>
      <w:r w:rsidRPr="00A037F2">
        <w:rPr>
          <w:rFonts w:ascii="Tahoma" w:hAnsi="Tahoma" w:cs="Tahoma"/>
          <w:b/>
          <w:sz w:val="22"/>
          <w:szCs w:val="22"/>
        </w:rPr>
        <w:t>ANTECEDENTES:</w:t>
      </w:r>
    </w:p>
    <w:p w:rsidR="00A037F2" w:rsidRPr="00A037F2" w:rsidRDefault="00A037F2" w:rsidP="00A037F2">
      <w:pPr>
        <w:jc w:val="both"/>
        <w:rPr>
          <w:rFonts w:ascii="Tahoma" w:hAnsi="Tahoma" w:cs="Tahoma"/>
          <w:b/>
          <w:sz w:val="22"/>
          <w:szCs w:val="22"/>
          <w:lang w:eastAsia="es-PE"/>
        </w:rPr>
      </w:pPr>
    </w:p>
    <w:p w:rsidR="00A037F2" w:rsidRPr="00A037F2" w:rsidRDefault="00A037F2" w:rsidP="00A037F2">
      <w:pPr>
        <w:pStyle w:val="p1"/>
        <w:numPr>
          <w:ilvl w:val="0"/>
          <w:numId w:val="4"/>
        </w:numPr>
        <w:tabs>
          <w:tab w:val="clear" w:pos="340"/>
          <w:tab w:val="num" w:pos="567"/>
          <w:tab w:val="center" w:pos="5832"/>
          <w:tab w:val="right" w:pos="8789"/>
        </w:tabs>
        <w:ind w:left="567" w:hanging="567"/>
        <w:rPr>
          <w:rFonts w:ascii="Tahoma" w:hAnsi="Tahoma" w:cs="Tahoma"/>
          <w:sz w:val="22"/>
          <w:szCs w:val="22"/>
        </w:rPr>
      </w:pPr>
      <w:r w:rsidRPr="00A037F2">
        <w:rPr>
          <w:rFonts w:ascii="Tahoma" w:hAnsi="Tahoma" w:cs="Tahoma"/>
          <w:sz w:val="22"/>
          <w:szCs w:val="22"/>
        </w:rPr>
        <w:t xml:space="preserve">El 15 de abril de 2010, el </w:t>
      </w:r>
      <w:r w:rsidRPr="00A037F2">
        <w:rPr>
          <w:rFonts w:ascii="Tahoma" w:hAnsi="Tahoma" w:cs="Tahoma"/>
          <w:sz w:val="22"/>
          <w:szCs w:val="22"/>
          <w:lang w:val="es-PE"/>
        </w:rPr>
        <w:t>Fondo Nacional de Financiamiento de la Actividad Empresarial - FONAFE</w:t>
      </w:r>
      <w:r w:rsidRPr="00A037F2">
        <w:rPr>
          <w:rFonts w:ascii="Tahoma" w:hAnsi="Tahoma" w:cs="Tahoma"/>
          <w:sz w:val="22"/>
          <w:szCs w:val="22"/>
        </w:rPr>
        <w:t>, en adelante, la Entidad, convocó a través del SEACE, la Adjudicación Directa Pública Nº 003-2010-FONAFE, para “Contratación del servicio de seguridad y vigilancia del edificio Almirante”, por un valor referencial ascendente a S/. 285,600.42 (Doscientos ochenta y cinco mil seiscientos y 42/100 Nuevos Soles), incluido los impuestos de Ley y cualquier otro concepto que incida en el costo total del servicio.</w:t>
      </w:r>
    </w:p>
    <w:p w:rsidR="00A037F2" w:rsidRPr="00A037F2" w:rsidRDefault="00A037F2" w:rsidP="00A037F2">
      <w:pPr>
        <w:tabs>
          <w:tab w:val="num" w:pos="1035"/>
        </w:tabs>
        <w:ind w:left="540"/>
        <w:jc w:val="both"/>
        <w:rPr>
          <w:rFonts w:ascii="Tahoma" w:hAnsi="Tahoma" w:cs="Tahoma"/>
          <w:sz w:val="22"/>
          <w:szCs w:val="22"/>
        </w:rPr>
      </w:pPr>
    </w:p>
    <w:p w:rsidR="00A037F2" w:rsidRPr="00A037F2" w:rsidRDefault="00A037F2" w:rsidP="00A037F2">
      <w:pPr>
        <w:pStyle w:val="Sangradetextonormal"/>
        <w:numPr>
          <w:ilvl w:val="0"/>
          <w:numId w:val="4"/>
        </w:numPr>
        <w:tabs>
          <w:tab w:val="clear" w:pos="340"/>
          <w:tab w:val="num" w:pos="567"/>
          <w:tab w:val="left" w:pos="1985"/>
        </w:tabs>
        <w:spacing w:after="0"/>
        <w:ind w:left="567" w:hanging="567"/>
        <w:jc w:val="both"/>
        <w:rPr>
          <w:rFonts w:ascii="Tahoma" w:hAnsi="Tahoma" w:cs="Tahoma"/>
          <w:sz w:val="22"/>
          <w:szCs w:val="22"/>
        </w:rPr>
      </w:pPr>
      <w:r w:rsidRPr="00A037F2">
        <w:rPr>
          <w:rFonts w:ascii="Tahoma" w:hAnsi="Tahoma" w:cs="Tahoma"/>
          <w:sz w:val="22"/>
          <w:szCs w:val="22"/>
        </w:rPr>
        <w:t>El 30 de abril de 2010 la Entidad le otorgó la buena pro de la Adjudicación Directa Pública N° 003-2010-FONAFE a la empresa Dirección Especial de Vigilancia y Control Empresarial S.R.Ltda-DEVICEM S.R.L.</w:t>
      </w:r>
    </w:p>
    <w:p w:rsidR="00A037F2" w:rsidRPr="00A037F2" w:rsidRDefault="00A037F2" w:rsidP="00A037F2">
      <w:pPr>
        <w:pStyle w:val="Sangradetextonormal"/>
        <w:tabs>
          <w:tab w:val="left" w:pos="1985"/>
        </w:tabs>
        <w:spacing w:after="0"/>
        <w:ind w:left="567"/>
        <w:jc w:val="both"/>
        <w:rPr>
          <w:rFonts w:ascii="Tahoma" w:hAnsi="Tahoma" w:cs="Tahoma"/>
          <w:sz w:val="22"/>
          <w:szCs w:val="22"/>
        </w:rPr>
      </w:pPr>
    </w:p>
    <w:p w:rsidR="00A037F2" w:rsidRPr="00A037F2" w:rsidRDefault="00A037F2" w:rsidP="00A037F2">
      <w:pPr>
        <w:pStyle w:val="Sangradetextonormal"/>
        <w:numPr>
          <w:ilvl w:val="0"/>
          <w:numId w:val="4"/>
        </w:numPr>
        <w:tabs>
          <w:tab w:val="clear" w:pos="340"/>
          <w:tab w:val="num" w:pos="567"/>
          <w:tab w:val="left" w:pos="1985"/>
        </w:tabs>
        <w:spacing w:after="0"/>
        <w:ind w:left="567" w:hanging="567"/>
        <w:jc w:val="both"/>
        <w:rPr>
          <w:rFonts w:ascii="Tahoma" w:hAnsi="Tahoma" w:cs="Tahoma"/>
          <w:sz w:val="22"/>
          <w:szCs w:val="22"/>
        </w:rPr>
      </w:pPr>
      <w:r w:rsidRPr="00A037F2">
        <w:rPr>
          <w:rFonts w:ascii="Tahoma" w:hAnsi="Tahoma" w:cs="Tahoma"/>
          <w:sz w:val="22"/>
          <w:szCs w:val="22"/>
        </w:rPr>
        <w:t>El 28 de mayo de 2010, se llevó a cabo el acto de otorgamiento de la buena pro, a la empresa J&amp;N SEGURIDAD Y VIGILANCIA PRIVADA S.A.C., en adelante, el Postor, quien ocupó el segundo lugar en la evaluación técnica y económica de la Adjudicación Directa Pública Nº 003-2010-FONAFE, dada la imposibilidad para firmar el contrato por parte de la ganadora de la buena pro, la empresa Dirección Especial de Vigilancia y Control Empresarial S.R.Ltda.</w:t>
      </w:r>
    </w:p>
    <w:p w:rsidR="00A037F2" w:rsidRPr="00A037F2" w:rsidRDefault="00A037F2" w:rsidP="00A037F2">
      <w:pPr>
        <w:tabs>
          <w:tab w:val="num" w:pos="1035"/>
        </w:tabs>
        <w:ind w:left="540"/>
        <w:jc w:val="both"/>
        <w:rPr>
          <w:rFonts w:ascii="Tahoma" w:hAnsi="Tahoma" w:cs="Tahoma"/>
          <w:sz w:val="22"/>
          <w:szCs w:val="22"/>
        </w:rPr>
      </w:pPr>
    </w:p>
    <w:p w:rsidR="00A037F2" w:rsidRPr="00A037F2" w:rsidRDefault="00A037F2" w:rsidP="00A037F2">
      <w:pPr>
        <w:numPr>
          <w:ilvl w:val="0"/>
          <w:numId w:val="4"/>
        </w:numPr>
        <w:tabs>
          <w:tab w:val="clear" w:pos="340"/>
          <w:tab w:val="num" w:pos="540"/>
          <w:tab w:val="num" w:pos="1035"/>
        </w:tabs>
        <w:ind w:left="540" w:hanging="540"/>
        <w:jc w:val="both"/>
        <w:rPr>
          <w:rFonts w:ascii="Tahoma" w:hAnsi="Tahoma" w:cs="Tahoma"/>
          <w:sz w:val="22"/>
          <w:szCs w:val="22"/>
        </w:rPr>
      </w:pPr>
      <w:r w:rsidRPr="00A037F2">
        <w:rPr>
          <w:rFonts w:ascii="Tahoma" w:hAnsi="Tahoma" w:cs="Tahoma"/>
          <w:sz w:val="22"/>
          <w:szCs w:val="22"/>
        </w:rPr>
        <w:t xml:space="preserve">Mediante Oficio N° 714-2010/DE-FONAFE recibido por Mesa de Partes del Tribunal de Contrataciones del Estado, en adelante, el Tribunal, el 05 de agosto de 2010, la Entidad puso en conocimiento que el Postor habría incurrido en la causal de infracción tipificada en el literal a) del numeral 1 del artículo 237 del Reglamento de la Ley de Contrataciones del Estado, toda vez que el Postor se negó a suscribir el contrato respectivo. </w:t>
      </w:r>
    </w:p>
    <w:p w:rsidR="00A037F2" w:rsidRPr="00A037F2" w:rsidRDefault="00A037F2" w:rsidP="00A037F2">
      <w:pPr>
        <w:tabs>
          <w:tab w:val="num" w:pos="1035"/>
        </w:tabs>
        <w:jc w:val="both"/>
        <w:rPr>
          <w:rFonts w:ascii="Tahoma" w:hAnsi="Tahoma" w:cs="Tahoma"/>
          <w:sz w:val="22"/>
          <w:szCs w:val="22"/>
        </w:rPr>
      </w:pPr>
    </w:p>
    <w:p w:rsidR="00A037F2" w:rsidRPr="00A037F2" w:rsidRDefault="00A037F2" w:rsidP="00A037F2">
      <w:pPr>
        <w:numPr>
          <w:ilvl w:val="0"/>
          <w:numId w:val="4"/>
        </w:numPr>
        <w:tabs>
          <w:tab w:val="clear" w:pos="340"/>
          <w:tab w:val="num" w:pos="540"/>
          <w:tab w:val="num" w:pos="1035"/>
        </w:tabs>
        <w:ind w:left="540" w:hanging="540"/>
        <w:jc w:val="both"/>
        <w:rPr>
          <w:rFonts w:ascii="Tahoma" w:hAnsi="Tahoma" w:cs="Tahoma"/>
          <w:sz w:val="22"/>
          <w:szCs w:val="22"/>
        </w:rPr>
      </w:pPr>
      <w:r w:rsidRPr="00A037F2">
        <w:rPr>
          <w:rFonts w:ascii="Tahoma" w:hAnsi="Tahoma" w:cs="Tahoma"/>
          <w:sz w:val="22"/>
          <w:szCs w:val="22"/>
        </w:rPr>
        <w:t>Al respecto, la Entidad señala que el 31 de mayo de 2010, su Gerencia de Administración y Finanzas comunicó al Postor que el otorgamiento de la Buena Pro del proceso referido través del oficio N° 374-2010/GAF-FONAFE y se le solicita la remisión de la documentación establecida en las bases integradas para la firma del respectivo contrato.</w:t>
      </w:r>
    </w:p>
    <w:p w:rsidR="00A037F2" w:rsidRPr="00A037F2" w:rsidRDefault="00A037F2" w:rsidP="00A037F2">
      <w:pPr>
        <w:pStyle w:val="Prrafodelista"/>
        <w:rPr>
          <w:rFonts w:ascii="Tahoma" w:hAnsi="Tahoma" w:cs="Tahoma"/>
          <w:sz w:val="22"/>
          <w:szCs w:val="22"/>
        </w:rPr>
      </w:pPr>
    </w:p>
    <w:p w:rsidR="00A037F2" w:rsidRPr="00A037F2" w:rsidRDefault="00A037F2" w:rsidP="00A037F2">
      <w:pPr>
        <w:numPr>
          <w:ilvl w:val="0"/>
          <w:numId w:val="4"/>
        </w:numPr>
        <w:tabs>
          <w:tab w:val="clear" w:pos="340"/>
          <w:tab w:val="num" w:pos="540"/>
          <w:tab w:val="num" w:pos="1035"/>
        </w:tabs>
        <w:ind w:left="540" w:hanging="540"/>
        <w:jc w:val="both"/>
        <w:rPr>
          <w:rFonts w:ascii="Tahoma" w:hAnsi="Tahoma" w:cs="Tahoma"/>
          <w:sz w:val="22"/>
          <w:szCs w:val="22"/>
        </w:rPr>
      </w:pPr>
      <w:r w:rsidRPr="00A037F2">
        <w:rPr>
          <w:rFonts w:ascii="Tahoma" w:hAnsi="Tahoma" w:cs="Tahoma"/>
          <w:sz w:val="22"/>
          <w:szCs w:val="22"/>
        </w:rPr>
        <w:t xml:space="preserve">Con carta S/N del 10 de junio de 2010 el Postor comunica a la Entidad la imposibilidad de firmar el contrato ante la omisión de incluir los costos correspondientes a los trámites documentarios y la adquisición de los bienes solicitados en las bases integradas, por lo que consideran que el valor referencial es inferior a los costos totales en que incurrirían para asumir el servicio. Su negativa a firmar el contrato se mantuvo hasta el 14 de junio de 2010, fecha en que venció el plazo para la firma del contrato. </w:t>
      </w:r>
    </w:p>
    <w:p w:rsidR="00A037F2" w:rsidRPr="00A037F2" w:rsidRDefault="00A037F2" w:rsidP="00A037F2">
      <w:pPr>
        <w:tabs>
          <w:tab w:val="num" w:pos="1035"/>
        </w:tabs>
        <w:jc w:val="both"/>
        <w:rPr>
          <w:rFonts w:ascii="Tahoma" w:hAnsi="Tahoma" w:cs="Tahoma"/>
          <w:sz w:val="22"/>
          <w:szCs w:val="22"/>
        </w:rPr>
      </w:pPr>
    </w:p>
    <w:p w:rsidR="00A037F2" w:rsidRPr="00A037F2" w:rsidRDefault="00A037F2" w:rsidP="00A037F2">
      <w:pPr>
        <w:numPr>
          <w:ilvl w:val="0"/>
          <w:numId w:val="4"/>
        </w:numPr>
        <w:tabs>
          <w:tab w:val="clear" w:pos="340"/>
          <w:tab w:val="num" w:pos="540"/>
          <w:tab w:val="num" w:pos="1035"/>
        </w:tabs>
        <w:ind w:left="540" w:hanging="540"/>
        <w:jc w:val="both"/>
        <w:rPr>
          <w:rFonts w:ascii="Tahoma" w:hAnsi="Tahoma" w:cs="Tahoma"/>
          <w:sz w:val="22"/>
          <w:szCs w:val="22"/>
          <w:lang w:eastAsia="es-PE"/>
        </w:rPr>
      </w:pPr>
      <w:r w:rsidRPr="00A037F2">
        <w:rPr>
          <w:rFonts w:ascii="Tahoma" w:hAnsi="Tahoma" w:cs="Tahoma"/>
          <w:sz w:val="22"/>
          <w:szCs w:val="22"/>
        </w:rPr>
        <w:t>En ese sentido, mediante decreto de fecha 10 de agosto de 2010, se inició procedimiento administrativo sancionador al Postor, por su supuesta responsabilidad al no haber mantenido su oferta hasta la suscripción del contrato, a pesar de haber resultado ganadora del otorgamiento de la Buena Pro en la Adjudicación Directa Pública Nº 003-2010-FONAFE</w:t>
      </w:r>
      <w:r w:rsidRPr="00A037F2">
        <w:rPr>
          <w:rFonts w:ascii="Tahoma" w:hAnsi="Tahoma" w:cs="Tahoma"/>
          <w:sz w:val="22"/>
          <w:szCs w:val="22"/>
          <w:lang w:val="es-PE"/>
        </w:rPr>
        <w:t xml:space="preserve">. </w:t>
      </w:r>
      <w:r w:rsidRPr="00A037F2">
        <w:rPr>
          <w:rFonts w:ascii="Tahoma" w:hAnsi="Tahoma" w:cs="Tahoma"/>
          <w:sz w:val="22"/>
          <w:szCs w:val="22"/>
          <w:lang w:eastAsia="es-PE"/>
        </w:rPr>
        <w:t>Conforme a ello, se le otorgó un plazo de diez (10) días hábiles para que cumpla con presentar sus descargos, bajo apercibimiento de resolver el procedimiento con la documentación obrante en el expediente.</w:t>
      </w:r>
    </w:p>
    <w:p w:rsidR="00A037F2" w:rsidRPr="00A037F2" w:rsidRDefault="00A037F2" w:rsidP="00A037F2">
      <w:pPr>
        <w:rPr>
          <w:rFonts w:ascii="Tahoma" w:hAnsi="Tahoma" w:cs="Tahoma"/>
          <w:sz w:val="22"/>
          <w:szCs w:val="22"/>
          <w:lang w:eastAsia="es-PE"/>
        </w:rPr>
      </w:pPr>
    </w:p>
    <w:p w:rsidR="00A037F2" w:rsidRPr="00A037F2" w:rsidRDefault="00A037F2" w:rsidP="00A037F2">
      <w:pPr>
        <w:pStyle w:val="Prrafodelista"/>
        <w:widowControl/>
        <w:numPr>
          <w:ilvl w:val="0"/>
          <w:numId w:val="4"/>
        </w:numPr>
        <w:tabs>
          <w:tab w:val="clear" w:pos="340"/>
        </w:tabs>
        <w:suppressAutoHyphens w:val="0"/>
        <w:ind w:left="567" w:hanging="567"/>
        <w:contextualSpacing/>
        <w:jc w:val="both"/>
        <w:rPr>
          <w:rFonts w:ascii="Tahoma" w:hAnsi="Tahoma" w:cs="Tahoma"/>
          <w:sz w:val="22"/>
          <w:szCs w:val="22"/>
        </w:rPr>
      </w:pPr>
      <w:r w:rsidRPr="00A037F2">
        <w:rPr>
          <w:rFonts w:ascii="Tahoma" w:hAnsi="Tahoma" w:cs="Tahoma"/>
          <w:sz w:val="22"/>
          <w:szCs w:val="22"/>
        </w:rPr>
        <w:t>El 21 de octubre de 2010, el Postor remitió a este Tribunal sus descargos señalando:</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Prrafodelista"/>
        <w:widowControl/>
        <w:numPr>
          <w:ilvl w:val="0"/>
          <w:numId w:val="5"/>
        </w:numPr>
        <w:suppressAutoHyphens w:val="0"/>
        <w:contextualSpacing/>
        <w:jc w:val="both"/>
        <w:rPr>
          <w:rFonts w:ascii="Tahoma" w:hAnsi="Tahoma" w:cs="Tahoma"/>
          <w:sz w:val="22"/>
          <w:szCs w:val="22"/>
        </w:rPr>
      </w:pPr>
      <w:r w:rsidRPr="00A037F2">
        <w:rPr>
          <w:rFonts w:ascii="Tahoma" w:hAnsi="Tahoma" w:cs="Tahoma"/>
          <w:sz w:val="22"/>
          <w:szCs w:val="22"/>
        </w:rPr>
        <w:t>Que reconoce no poder suscribir el contrato proveniente de la ADP N° 003-2010-FONAFE.</w:t>
      </w:r>
    </w:p>
    <w:p w:rsidR="00A037F2" w:rsidRPr="00A037F2" w:rsidRDefault="00A037F2" w:rsidP="00A037F2">
      <w:pPr>
        <w:pStyle w:val="Prrafodelista"/>
        <w:ind w:left="927"/>
        <w:contextualSpacing/>
        <w:jc w:val="both"/>
        <w:rPr>
          <w:rFonts w:ascii="Tahoma" w:hAnsi="Tahoma" w:cs="Tahoma"/>
          <w:sz w:val="22"/>
          <w:szCs w:val="22"/>
        </w:rPr>
      </w:pPr>
    </w:p>
    <w:p w:rsidR="00A037F2" w:rsidRPr="00A037F2" w:rsidRDefault="00A037F2" w:rsidP="00A037F2">
      <w:pPr>
        <w:pStyle w:val="Prrafodelista"/>
        <w:widowControl/>
        <w:numPr>
          <w:ilvl w:val="0"/>
          <w:numId w:val="5"/>
        </w:numPr>
        <w:suppressAutoHyphens w:val="0"/>
        <w:contextualSpacing/>
        <w:jc w:val="both"/>
        <w:rPr>
          <w:rFonts w:ascii="Tahoma" w:hAnsi="Tahoma" w:cs="Tahoma"/>
          <w:sz w:val="22"/>
          <w:szCs w:val="22"/>
        </w:rPr>
      </w:pPr>
      <w:r w:rsidRPr="00A037F2">
        <w:rPr>
          <w:rFonts w:ascii="Tahoma" w:hAnsi="Tahoma" w:cs="Tahoma"/>
          <w:sz w:val="22"/>
          <w:szCs w:val="22"/>
        </w:rPr>
        <w:t>Que manifiesta que los costos correspondientes a los trámites documentarios, así como la adquisición de los bienes solicitados en el concurso, no han sido incluidos dentro de la estructura de costos que sirvió de base para la determinación del Valor de Referencia del proceso.</w:t>
      </w:r>
    </w:p>
    <w:p w:rsidR="00A037F2" w:rsidRPr="00A037F2" w:rsidRDefault="00A037F2" w:rsidP="00A037F2">
      <w:pPr>
        <w:pStyle w:val="Prrafodelista"/>
        <w:ind w:left="0"/>
        <w:contextualSpacing/>
        <w:jc w:val="both"/>
        <w:rPr>
          <w:rFonts w:ascii="Tahoma" w:hAnsi="Tahoma" w:cs="Tahoma"/>
          <w:sz w:val="22"/>
          <w:szCs w:val="22"/>
        </w:rPr>
      </w:pPr>
    </w:p>
    <w:p w:rsidR="00A037F2" w:rsidRPr="00A037F2" w:rsidRDefault="00A037F2" w:rsidP="00A037F2">
      <w:pPr>
        <w:pStyle w:val="Prrafodelista"/>
        <w:widowControl/>
        <w:numPr>
          <w:ilvl w:val="0"/>
          <w:numId w:val="5"/>
        </w:numPr>
        <w:suppressAutoHyphens w:val="0"/>
        <w:contextualSpacing/>
        <w:jc w:val="both"/>
        <w:rPr>
          <w:rFonts w:ascii="Tahoma" w:hAnsi="Tahoma" w:cs="Tahoma"/>
          <w:sz w:val="22"/>
          <w:szCs w:val="22"/>
        </w:rPr>
      </w:pPr>
      <w:r w:rsidRPr="00A037F2">
        <w:rPr>
          <w:rFonts w:ascii="Tahoma" w:hAnsi="Tahoma" w:cs="Tahoma"/>
          <w:sz w:val="22"/>
          <w:szCs w:val="22"/>
        </w:rPr>
        <w:t xml:space="preserve">Que la retribución que hubieran recibido por adjudicarse la buena pro del concurso, ascendente a S/. 273,880.25, hubiese sido menor que los costos necesarios para asumir el servicio, representando pérdidas para ellos ascendentes al monto de S/. 17,480.67. </w:t>
      </w:r>
    </w:p>
    <w:p w:rsidR="00A037F2" w:rsidRPr="00A037F2" w:rsidRDefault="00A037F2" w:rsidP="00A037F2">
      <w:pPr>
        <w:pStyle w:val="Prrafodelista"/>
        <w:ind w:left="0"/>
        <w:contextualSpacing/>
        <w:jc w:val="both"/>
        <w:rPr>
          <w:rFonts w:ascii="Tahoma" w:hAnsi="Tahoma" w:cs="Tahoma"/>
          <w:sz w:val="22"/>
          <w:szCs w:val="22"/>
        </w:rPr>
      </w:pPr>
    </w:p>
    <w:p w:rsidR="00A037F2" w:rsidRPr="00A037F2" w:rsidRDefault="00A037F2" w:rsidP="00A037F2">
      <w:pPr>
        <w:pStyle w:val="Prrafodelista"/>
        <w:widowControl/>
        <w:numPr>
          <w:ilvl w:val="0"/>
          <w:numId w:val="5"/>
        </w:numPr>
        <w:suppressAutoHyphens w:val="0"/>
        <w:contextualSpacing/>
        <w:jc w:val="both"/>
        <w:rPr>
          <w:rFonts w:ascii="Tahoma" w:hAnsi="Tahoma" w:cs="Tahoma"/>
          <w:sz w:val="22"/>
          <w:szCs w:val="22"/>
        </w:rPr>
      </w:pPr>
      <w:r w:rsidRPr="00A037F2">
        <w:rPr>
          <w:rFonts w:ascii="Tahoma" w:hAnsi="Tahoma" w:cs="Tahoma"/>
          <w:sz w:val="22"/>
          <w:szCs w:val="22"/>
        </w:rPr>
        <w:t>Que FONAFE debería realizar un análisis de la estructura de costos presentada y determinar que el valor referencial determinado en el proceso es inferior a los costos totales en que se incurrirían para asumir el servicio, lo cual devino en su imposibilidad para suscribir el contrato.</w:t>
      </w:r>
    </w:p>
    <w:p w:rsidR="00A037F2" w:rsidRPr="00A037F2" w:rsidRDefault="00A037F2" w:rsidP="00A037F2">
      <w:pPr>
        <w:pStyle w:val="Prrafodelista"/>
        <w:ind w:left="927"/>
        <w:contextualSpacing/>
        <w:jc w:val="both"/>
        <w:rPr>
          <w:rFonts w:ascii="Tahoma" w:hAnsi="Tahoma" w:cs="Tahoma"/>
          <w:sz w:val="22"/>
          <w:szCs w:val="22"/>
        </w:rPr>
      </w:pPr>
    </w:p>
    <w:p w:rsidR="00A037F2" w:rsidRPr="00A037F2" w:rsidRDefault="00A037F2" w:rsidP="00A037F2">
      <w:pPr>
        <w:pStyle w:val="Prrafodelista"/>
        <w:widowControl/>
        <w:numPr>
          <w:ilvl w:val="0"/>
          <w:numId w:val="4"/>
        </w:numPr>
        <w:tabs>
          <w:tab w:val="clear" w:pos="340"/>
          <w:tab w:val="num" w:pos="567"/>
        </w:tabs>
        <w:suppressAutoHyphens w:val="0"/>
        <w:ind w:left="567" w:hanging="567"/>
        <w:contextualSpacing/>
        <w:jc w:val="both"/>
        <w:rPr>
          <w:rFonts w:ascii="Tahoma" w:hAnsi="Tahoma" w:cs="Tahoma"/>
          <w:sz w:val="22"/>
          <w:szCs w:val="22"/>
        </w:rPr>
      </w:pPr>
      <w:r w:rsidRPr="00A037F2">
        <w:rPr>
          <w:rFonts w:ascii="Tahoma" w:hAnsi="Tahoma" w:cs="Tahoma"/>
          <w:sz w:val="22"/>
          <w:szCs w:val="22"/>
        </w:rPr>
        <w:lastRenderedPageBreak/>
        <w:t>Mediante decreto del 26 de octubre de 2010 se tuvo por apersonada a J&amp;N Seguridad y Vigilancia Privada S.A.C., requiriéndosele señalar domicilio procesal en la ciudad de Lima, bajo responsabilidad y apercibimiento de darse por bien notificado dentro del plazo de ley.</w:t>
      </w:r>
    </w:p>
    <w:p w:rsidR="00A037F2" w:rsidRPr="00A037F2" w:rsidRDefault="00A037F2" w:rsidP="00A037F2">
      <w:pPr>
        <w:pStyle w:val="Prrafodelista"/>
        <w:ind w:left="567"/>
        <w:contextualSpacing/>
        <w:jc w:val="both"/>
        <w:rPr>
          <w:rFonts w:ascii="Tahoma" w:hAnsi="Tahoma" w:cs="Tahoma"/>
          <w:sz w:val="22"/>
          <w:szCs w:val="22"/>
        </w:rPr>
      </w:pPr>
    </w:p>
    <w:p w:rsidR="00A037F2" w:rsidRPr="00A037F2" w:rsidRDefault="00A037F2" w:rsidP="00A037F2">
      <w:pPr>
        <w:numPr>
          <w:ilvl w:val="0"/>
          <w:numId w:val="4"/>
        </w:numPr>
        <w:tabs>
          <w:tab w:val="clear" w:pos="340"/>
          <w:tab w:val="num" w:pos="540"/>
          <w:tab w:val="num" w:pos="1035"/>
        </w:tabs>
        <w:ind w:left="540" w:hanging="540"/>
        <w:jc w:val="both"/>
        <w:rPr>
          <w:rFonts w:ascii="Tahoma" w:hAnsi="Tahoma" w:cs="Tahoma"/>
          <w:sz w:val="22"/>
          <w:szCs w:val="22"/>
          <w:lang w:eastAsia="es-PE"/>
        </w:rPr>
      </w:pPr>
      <w:r w:rsidRPr="00A037F2">
        <w:rPr>
          <w:rFonts w:ascii="Tahoma" w:hAnsi="Tahoma" w:cs="Tahoma"/>
          <w:sz w:val="22"/>
          <w:szCs w:val="22"/>
        </w:rPr>
        <w:t xml:space="preserve">Mediante decreto del 25 de febrero de 2011 se reformuló el decreto de fecha 10 de agosto de 2010, toda vez que el mismo indicaba iniciar el procedimiento sancionador por supuesta responsabilidad al no haber mantenido su oferta hasta la suscripción del contrato; no obstante, se advierte que la causal que se configuró es la de no suscribir el contrato a pesar de no haber resultado ganador del otorgamiento de la buena pro. En consecuencia, a fin de no afectar el derecho de defensa de la empresa instruida, dispuso </w:t>
      </w:r>
      <w:r w:rsidRPr="00A037F2">
        <w:rPr>
          <w:rFonts w:ascii="Tahoma" w:hAnsi="Tahoma" w:cs="Tahoma"/>
          <w:sz w:val="22"/>
          <w:szCs w:val="22"/>
          <w:lang w:eastAsia="es-PE"/>
        </w:rPr>
        <w:t>otorgarle un plazo de diez (10) días hábiles para que cumpla con presentar sus descargos, bajo apercibimiento de resolver el procedimiento con la documentación obrante en el expediente.</w:t>
      </w:r>
    </w:p>
    <w:p w:rsidR="00A037F2" w:rsidRPr="00A037F2" w:rsidRDefault="00A037F2" w:rsidP="00A037F2">
      <w:pPr>
        <w:pStyle w:val="Prrafodelista"/>
        <w:rPr>
          <w:rFonts w:ascii="Tahoma" w:hAnsi="Tahoma" w:cs="Tahoma"/>
          <w:sz w:val="22"/>
          <w:szCs w:val="22"/>
          <w:lang w:eastAsia="es-PE"/>
        </w:rPr>
      </w:pPr>
    </w:p>
    <w:p w:rsidR="00A037F2" w:rsidRPr="00A037F2" w:rsidRDefault="00A037F2" w:rsidP="00A037F2">
      <w:pPr>
        <w:pStyle w:val="Prrafodelista"/>
        <w:widowControl/>
        <w:numPr>
          <w:ilvl w:val="0"/>
          <w:numId w:val="4"/>
        </w:numPr>
        <w:tabs>
          <w:tab w:val="clear" w:pos="340"/>
        </w:tabs>
        <w:suppressAutoHyphens w:val="0"/>
        <w:ind w:left="567" w:hanging="567"/>
        <w:contextualSpacing/>
        <w:jc w:val="both"/>
        <w:rPr>
          <w:rFonts w:ascii="Tahoma" w:hAnsi="Tahoma" w:cs="Tahoma"/>
          <w:sz w:val="22"/>
          <w:szCs w:val="22"/>
          <w:lang w:eastAsia="es-PE"/>
        </w:rPr>
      </w:pPr>
      <w:r w:rsidRPr="00A037F2">
        <w:rPr>
          <w:rFonts w:ascii="Tahoma" w:hAnsi="Tahoma" w:cs="Tahoma"/>
          <w:sz w:val="22"/>
          <w:szCs w:val="22"/>
        </w:rPr>
        <w:t>El 23 de marzo de 2011, el Postor remitió a este Tribunal nuevos descargos, reiterando los argumentos de su carta del 21 de octubre de 2010.</w:t>
      </w:r>
    </w:p>
    <w:p w:rsidR="00A037F2" w:rsidRPr="00A037F2" w:rsidRDefault="00A037F2" w:rsidP="00A037F2">
      <w:pPr>
        <w:pStyle w:val="Prrafodelista"/>
        <w:ind w:left="0"/>
        <w:contextualSpacing/>
        <w:jc w:val="both"/>
        <w:rPr>
          <w:rFonts w:ascii="Tahoma" w:hAnsi="Tahoma" w:cs="Tahoma"/>
          <w:sz w:val="22"/>
          <w:szCs w:val="22"/>
          <w:lang w:eastAsia="es-PE"/>
        </w:rPr>
      </w:pPr>
    </w:p>
    <w:p w:rsidR="00A037F2" w:rsidRPr="00A037F2" w:rsidRDefault="00A037F2" w:rsidP="00A037F2">
      <w:pPr>
        <w:numPr>
          <w:ilvl w:val="0"/>
          <w:numId w:val="4"/>
        </w:numPr>
        <w:tabs>
          <w:tab w:val="clear" w:pos="340"/>
          <w:tab w:val="num" w:pos="540"/>
          <w:tab w:val="num" w:pos="1035"/>
        </w:tabs>
        <w:ind w:left="540" w:hanging="540"/>
        <w:jc w:val="both"/>
        <w:rPr>
          <w:rFonts w:ascii="Tahoma" w:hAnsi="Tahoma" w:cs="Tahoma"/>
          <w:sz w:val="22"/>
          <w:szCs w:val="22"/>
          <w:lang w:eastAsia="es-PE"/>
        </w:rPr>
      </w:pPr>
      <w:r w:rsidRPr="00A037F2">
        <w:rPr>
          <w:rFonts w:ascii="Tahoma" w:hAnsi="Tahoma" w:cs="Tahoma"/>
          <w:sz w:val="22"/>
          <w:szCs w:val="22"/>
        </w:rPr>
        <w:t xml:space="preserve">Mediante decreto del 28 de marzo de 2011 se tuvo por apersonada a J&amp;N Seguridad y Vigilancia Privada S.A.C., requiriéndosele señalar domicilio procesal en la ciudad de Lima, bajo responsabilidad y apercibimiento de darse por bien notificado dentro del plazo de ley. Asimismo, se dispuso la rectificación de oficio del decreto de fecha 25 de febrero de 2011, a fin que se considere correctamente la razón social de la empresa materia de procedimiento administrativo sancionado, precisando que se trata de la empresa J&amp;N Seguridad y Vigilancia Privada S.A.C. y no J&amp;N Seguridad y Vigilancia S.A.C. </w:t>
      </w:r>
      <w:r w:rsidRPr="00A037F2">
        <w:rPr>
          <w:rFonts w:ascii="Tahoma" w:hAnsi="Tahoma" w:cs="Tahoma"/>
          <w:sz w:val="22"/>
          <w:szCs w:val="22"/>
          <w:lang w:eastAsia="es-PE"/>
        </w:rPr>
        <w:t xml:space="preserve">Finalmente, dispone remitir el expediente a la Primera Sala del Tribunal para que resuelva de conformidad con lo establecido en el numeral 2 del art 242 del Reglamento. </w:t>
      </w:r>
    </w:p>
    <w:p w:rsidR="00A037F2" w:rsidRPr="00A037F2" w:rsidRDefault="00A037F2" w:rsidP="00A037F2">
      <w:pPr>
        <w:contextualSpacing/>
        <w:jc w:val="both"/>
        <w:rPr>
          <w:rFonts w:ascii="Tahoma" w:hAnsi="Tahoma" w:cs="Tahoma"/>
          <w:sz w:val="22"/>
          <w:szCs w:val="22"/>
        </w:rPr>
      </w:pPr>
    </w:p>
    <w:p w:rsidR="00A037F2" w:rsidRPr="00A037F2" w:rsidRDefault="00A037F2" w:rsidP="00A037F2">
      <w:pPr>
        <w:pStyle w:val="Prrafodelista"/>
        <w:ind w:left="567"/>
        <w:jc w:val="both"/>
        <w:rPr>
          <w:rFonts w:ascii="Tahoma" w:hAnsi="Tahoma" w:cs="Tahoma"/>
          <w:b/>
          <w:shadow/>
          <w:sz w:val="22"/>
          <w:szCs w:val="22"/>
        </w:rPr>
      </w:pPr>
      <w:r w:rsidRPr="00A037F2">
        <w:rPr>
          <w:rFonts w:ascii="Tahoma" w:hAnsi="Tahoma" w:cs="Tahoma"/>
          <w:b/>
          <w:sz w:val="22"/>
          <w:szCs w:val="22"/>
        </w:rPr>
        <w:t>FUNDAMENTACIÓN:</w:t>
      </w:r>
    </w:p>
    <w:p w:rsidR="00A037F2" w:rsidRPr="00A037F2" w:rsidRDefault="00A037F2" w:rsidP="00A037F2">
      <w:pPr>
        <w:pStyle w:val="Prrafodelista"/>
        <w:ind w:left="567"/>
        <w:jc w:val="both"/>
        <w:rPr>
          <w:rFonts w:ascii="Tahoma" w:hAnsi="Tahoma" w:cs="Tahoma"/>
          <w:b/>
          <w:shadow/>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lang w:val="es-ES_tradnl"/>
        </w:rPr>
        <w:t xml:space="preserve">El presente proceso está referido </w:t>
      </w:r>
      <w:r w:rsidRPr="00A037F2">
        <w:rPr>
          <w:rFonts w:ascii="Tahoma" w:hAnsi="Tahoma" w:cs="Tahoma"/>
          <w:sz w:val="22"/>
          <w:szCs w:val="22"/>
        </w:rPr>
        <w:t xml:space="preserve">a la supuesta responsabilidad del Postor, por haber participado en la Adjudicación de Adjudicación Directa Pública Nº 003-2010-FONAFE, proceso convocado por el </w:t>
      </w:r>
      <w:r w:rsidRPr="00A037F2">
        <w:rPr>
          <w:rFonts w:ascii="Tahoma" w:hAnsi="Tahoma" w:cs="Tahoma"/>
          <w:sz w:val="22"/>
          <w:szCs w:val="22"/>
          <w:lang w:val="es-PE"/>
        </w:rPr>
        <w:t>Fondo Nacional de Financiamiento de la Actividad Empresarial – FONAFE</w:t>
      </w:r>
      <w:r w:rsidRPr="00A037F2">
        <w:rPr>
          <w:rFonts w:ascii="Tahoma" w:hAnsi="Tahoma" w:cs="Tahoma"/>
          <w:sz w:val="22"/>
          <w:szCs w:val="22"/>
        </w:rPr>
        <w:t xml:space="preserve"> para brindar la  “Contratación del servicio de seguridad y vigilancia del edificio Almirante”, imputándosele la no suscripción injustificada del contrato derivado del concurso referido; infracción tipificada en el literal a) del numeral 51.1 del artículo 51 de la Ley de Contrataciones del Estado; aprobado por Decreto Legislativo Nº 1017, en adelante, la Ley norma vigente al momento de la producción de los hechos denunciados.</w:t>
      </w:r>
    </w:p>
    <w:p w:rsidR="00A037F2" w:rsidRPr="00A037F2" w:rsidRDefault="00A037F2" w:rsidP="00A037F2">
      <w:pPr>
        <w:pStyle w:val="Textoindependiente"/>
        <w:widowControl w:val="0"/>
        <w:tabs>
          <w:tab w:val="left" w:pos="567"/>
        </w:tabs>
        <w:suppressAutoHyphens/>
        <w:spacing w:after="0"/>
        <w:ind w:left="567"/>
        <w:jc w:val="both"/>
        <w:rPr>
          <w:rFonts w:ascii="Tahoma" w:hAnsi="Tahoma" w:cs="Tahoma"/>
          <w:sz w:val="22"/>
          <w:szCs w:val="22"/>
          <w:lang w:val="es-PE"/>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rPr>
        <w:t xml:space="preserve">Téngase en cuenta que la infracción contemplada en el literal a) del artículo 51 de la Ley y el literal b) del artículo 237º del Reglamento establece como supuesto de hecho indispensable para su configuración, la que los proveedores, </w:t>
      </w:r>
      <w:r w:rsidRPr="00A037F2">
        <w:rPr>
          <w:rFonts w:ascii="Tahoma" w:hAnsi="Tahoma" w:cs="Tahoma"/>
          <w:sz w:val="22"/>
          <w:szCs w:val="22"/>
        </w:rPr>
        <w:lastRenderedPageBreak/>
        <w:t>participantes, postores y/o contratistas no suscriban injustificadamente el contrato</w:t>
      </w:r>
      <w:r w:rsidRPr="00A037F2">
        <w:rPr>
          <w:rFonts w:ascii="Tahoma" w:hAnsi="Tahoma" w:cs="Tahoma"/>
          <w:b/>
          <w:sz w:val="22"/>
          <w:szCs w:val="22"/>
        </w:rPr>
        <w:t>.</w:t>
      </w:r>
    </w:p>
    <w:p w:rsidR="00A037F2" w:rsidRPr="00A037F2" w:rsidRDefault="00A037F2" w:rsidP="00A037F2">
      <w:pPr>
        <w:pStyle w:val="Prrafodelista"/>
        <w:rPr>
          <w:rFonts w:ascii="Tahoma" w:hAnsi="Tahoma" w:cs="Tahoma"/>
          <w:sz w:val="22"/>
          <w:szCs w:val="22"/>
          <w:lang w:eastAsia="en-US"/>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lang w:eastAsia="en-US"/>
        </w:rPr>
        <w:t>En principio, cabe precisar que con el otorgamiento de la buena pro se genera el derecho del ganador del proceso de celebrar el contrato con la Entidad.</w:t>
      </w:r>
      <w:r w:rsidRPr="00A037F2">
        <w:rPr>
          <w:rFonts w:ascii="Tahoma" w:hAnsi="Tahoma" w:cs="Tahoma"/>
          <w:color w:val="000000"/>
          <w:sz w:val="22"/>
          <w:szCs w:val="22"/>
        </w:rPr>
        <w:t xml:space="preserve"> </w:t>
      </w:r>
      <w:r w:rsidRPr="00A037F2">
        <w:rPr>
          <w:rFonts w:ascii="Tahoma" w:hAnsi="Tahoma" w:cs="Tahoma"/>
          <w:sz w:val="22"/>
          <w:szCs w:val="22"/>
          <w:lang w:val="es-ES_tradnl" w:eastAsia="en-US"/>
        </w:rPr>
        <w:t>Sin embargo, la suscripción del contrato, además de un derecho, constituye una obligación del postor.</w:t>
      </w:r>
    </w:p>
    <w:p w:rsidR="00A037F2" w:rsidRPr="00A037F2" w:rsidRDefault="00A037F2" w:rsidP="00A037F2">
      <w:pPr>
        <w:pStyle w:val="Prrafodelista"/>
        <w:rPr>
          <w:rFonts w:ascii="Tahoma" w:hAnsi="Tahoma" w:cs="Tahoma"/>
          <w:sz w:val="22"/>
          <w:szCs w:val="22"/>
          <w:lang w:eastAsia="en-US"/>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lang w:val="es-ES_tradnl" w:eastAsia="en-US"/>
        </w:rPr>
        <w:t xml:space="preserve">En ese sentido, de conformidad con lo establecido en el artículo 137 del Reglamento, una vez que el otorgamiento de la buena pro ha quedado consentido o administrativamente firme, tanto la Entidad como el o los postores ganadores </w:t>
      </w:r>
      <w:r w:rsidRPr="00A037F2">
        <w:rPr>
          <w:rFonts w:ascii="Tahoma" w:hAnsi="Tahoma" w:cs="Tahoma"/>
          <w:b/>
          <w:bCs/>
          <w:sz w:val="22"/>
          <w:szCs w:val="22"/>
          <w:u w:val="single"/>
          <w:lang w:val="es-ES_tradnl" w:eastAsia="en-US"/>
        </w:rPr>
        <w:t>están obligados a suscribir el o los contratos respectivos</w:t>
      </w:r>
      <w:r w:rsidRPr="00A037F2">
        <w:rPr>
          <w:rFonts w:ascii="Tahoma" w:hAnsi="Tahoma" w:cs="Tahoma"/>
          <w:sz w:val="22"/>
          <w:szCs w:val="22"/>
          <w:lang w:val="es-ES_tradnl" w:eastAsia="en-US"/>
        </w:rPr>
        <w:t>.</w:t>
      </w:r>
    </w:p>
    <w:p w:rsidR="00A037F2" w:rsidRPr="00A037F2" w:rsidRDefault="00A037F2" w:rsidP="00A037F2">
      <w:pPr>
        <w:pStyle w:val="Prrafodelista"/>
        <w:rPr>
          <w:rFonts w:ascii="Tahoma" w:hAnsi="Tahoma" w:cs="Tahoma"/>
          <w:sz w:val="22"/>
          <w:szCs w:val="22"/>
          <w:lang w:eastAsia="en-US"/>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lang w:eastAsia="en-US"/>
        </w:rPr>
        <w:t>Como parte de dicha obligación, compete a la Entidad y al postor adjudicatario observar el procedimiento establecido en el artículo 148 del Reglamento de la Ley de Contrataciones del Estado para la suscripción del contrato.</w:t>
      </w:r>
    </w:p>
    <w:p w:rsidR="00A037F2" w:rsidRPr="00A037F2" w:rsidRDefault="00A037F2" w:rsidP="00A037F2">
      <w:pPr>
        <w:pStyle w:val="Prrafodelista"/>
        <w:rPr>
          <w:rFonts w:ascii="Tahoma" w:hAnsi="Tahoma" w:cs="Tahoma"/>
          <w:sz w:val="22"/>
          <w:szCs w:val="22"/>
          <w:lang w:val="es-PE"/>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lang w:val="es-PE"/>
        </w:rPr>
        <w:t>El citado artículo 148 del Reglamento establece que dentro de los dos (2) días siguientes al consentimiento de la Buena Pro, la Entidad deberá citar al postor ganador, otorgándole el plazo establecido en las Bases, el cual no podrá ser menor de cinco (5) ni mayor de diez (10) días hábiles, dentro del cual deberá presentarse a la sede de la Entidad para suscribir el contrato con toda la documentación requerida.</w:t>
      </w:r>
    </w:p>
    <w:p w:rsidR="00A037F2" w:rsidRPr="00A037F2" w:rsidRDefault="00A037F2" w:rsidP="00A037F2">
      <w:pPr>
        <w:pStyle w:val="Prrafodelista"/>
        <w:rPr>
          <w:rFonts w:ascii="Tahoma" w:hAnsi="Tahoma" w:cs="Tahoma"/>
          <w:sz w:val="22"/>
          <w:szCs w:val="22"/>
          <w:lang w:val="es-PE"/>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lang w:val="es-PE"/>
        </w:rPr>
        <w:t xml:space="preserve">Asimismo, refiere que cuando el postor ganador no se presente dentro del plazo otorgado, perderá automáticamente la Buena Pro, sin perjuicio de la sanción administrativa aplicable. En tal caso, el órgano encargado de las contrataciones llamará al postor que ocupo el segundo lugar en el orden de prelación para que suscriba el contrato, procediéndose conforme al plazo dispuesto en el inciso precedente. </w:t>
      </w:r>
    </w:p>
    <w:p w:rsidR="00A037F2" w:rsidRPr="00A037F2" w:rsidRDefault="00A037F2" w:rsidP="00A037F2">
      <w:pPr>
        <w:pStyle w:val="Prrafodelista"/>
        <w:jc w:val="both"/>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lang w:val="es-ES_tradnl"/>
        </w:rPr>
        <w:t>En ese orden de ideas, corresponde determinar previamente si la Entidad ha seguido el debido procedimiento para la suscripción del contrato del postor que quedó en segundo lugar.</w:t>
      </w:r>
      <w:r w:rsidRPr="00A037F2">
        <w:rPr>
          <w:rFonts w:ascii="Tahoma" w:hAnsi="Tahoma" w:cs="Tahoma"/>
          <w:sz w:val="22"/>
          <w:szCs w:val="22"/>
        </w:rPr>
        <w:t xml:space="preserve"> </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rPr>
        <w:t>El artículo 75 del Reglamento establece que el otorgamiento de la buena pro realizado en acto público se presumirá notificado a todos los postores en la misma fecha.</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rPr>
        <w:t xml:space="preserve">Igualmente, el artículo 77 del citado cuerpo normativo, señalaba también que cuando en el proceso de selección se hayan presentado dos o más propuestas, el consentimiento de la buena pro se producirá a los ocho (8) días de su notificación, sin que los postores hayan ejercido el derecho de interponer el recurso de apelación. En el caso de las Adjudicaciones Directas y de Menor Cuantía el plazo será de cinco (5) días hábiles. Para constatar que la buena pro </w:t>
      </w:r>
      <w:r w:rsidRPr="00A037F2">
        <w:rPr>
          <w:rFonts w:ascii="Tahoma" w:hAnsi="Tahoma" w:cs="Tahoma"/>
          <w:sz w:val="22"/>
          <w:szCs w:val="22"/>
        </w:rPr>
        <w:lastRenderedPageBreak/>
        <w:t>quedó consentida, la Entidad deberá verificar en el detalle del proceso de selección registrado en el SEACE, si se interpuso el respectivo recurso impugnativo.</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rPr>
        <w:t xml:space="preserve">Ahora bien, de acuerdo a la información del SEACE, el </w:t>
      </w:r>
      <w:r w:rsidRPr="00A037F2">
        <w:rPr>
          <w:rFonts w:ascii="Tahoma" w:hAnsi="Tahoma" w:cs="Tahoma"/>
          <w:b/>
          <w:sz w:val="22"/>
          <w:szCs w:val="22"/>
        </w:rPr>
        <w:t>30 de abril de 2010 se llevó a cabo el acto público de otorgamiento de la buena pro</w:t>
      </w:r>
      <w:r w:rsidRPr="00A037F2">
        <w:rPr>
          <w:rFonts w:ascii="Tahoma" w:hAnsi="Tahoma" w:cs="Tahoma"/>
          <w:sz w:val="22"/>
          <w:szCs w:val="22"/>
        </w:rPr>
        <w:t xml:space="preserve">, por lo que los postores tenían hasta el 7 de mayo de 2010 para interponer recurso de apelación. De esta forma, al no haberse interpuesto recurso alguno, </w:t>
      </w:r>
      <w:r w:rsidRPr="00A037F2">
        <w:rPr>
          <w:rFonts w:ascii="Tahoma" w:hAnsi="Tahoma" w:cs="Tahoma"/>
          <w:b/>
          <w:sz w:val="22"/>
          <w:szCs w:val="22"/>
        </w:rPr>
        <w:t xml:space="preserve">la Entidad tenía hasta el 11 de mayo de 2010 </w:t>
      </w:r>
      <w:r w:rsidRPr="00A037F2">
        <w:rPr>
          <w:rFonts w:ascii="Tahoma" w:hAnsi="Tahoma" w:cs="Tahoma"/>
          <w:sz w:val="22"/>
          <w:szCs w:val="22"/>
        </w:rPr>
        <w:t xml:space="preserve">para citar al adjudicatario de la buena pro a suscribir el contrato respectivo. </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rPr>
        <w:t xml:space="preserve">Del examen de la documentación obrante en autos, se verifica que </w:t>
      </w:r>
      <w:r w:rsidRPr="00A037F2">
        <w:rPr>
          <w:rFonts w:ascii="Tahoma" w:hAnsi="Tahoma" w:cs="Tahoma"/>
          <w:b/>
          <w:sz w:val="22"/>
          <w:szCs w:val="22"/>
        </w:rPr>
        <w:t xml:space="preserve">el 13 de mayo de </w:t>
      </w:r>
      <w:r w:rsidR="00303057">
        <w:rPr>
          <w:rFonts w:ascii="Tahoma" w:hAnsi="Tahoma" w:cs="Tahoma"/>
          <w:b/>
          <w:sz w:val="22"/>
          <w:szCs w:val="22"/>
        </w:rPr>
        <w:t>2010</w:t>
      </w:r>
      <w:r w:rsidRPr="00A037F2">
        <w:rPr>
          <w:rFonts w:ascii="Tahoma" w:hAnsi="Tahoma" w:cs="Tahoma"/>
          <w:b/>
          <w:sz w:val="22"/>
          <w:szCs w:val="22"/>
        </w:rPr>
        <w:t xml:space="preserve"> la Entidad procedió a citar al adjudicatario</w:t>
      </w:r>
      <w:r w:rsidRPr="00A037F2">
        <w:rPr>
          <w:rFonts w:ascii="Tahoma" w:hAnsi="Tahoma" w:cs="Tahoma"/>
          <w:sz w:val="22"/>
          <w:szCs w:val="22"/>
        </w:rPr>
        <w:t>, es decir, a la empresa DEVICEM  mediante Oficio Nº 318-2010/GAF-FONAFE, con la finalidad que aquél acudiera dentro del plazo de diez (10) días a suscribir el contrato.</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rPr>
        <w:t xml:space="preserve">De la documentación correspondiente se advierte que </w:t>
      </w:r>
      <w:r w:rsidRPr="00A037F2">
        <w:rPr>
          <w:rFonts w:ascii="Tahoma" w:hAnsi="Tahoma" w:cs="Tahoma"/>
          <w:b/>
          <w:sz w:val="22"/>
          <w:szCs w:val="22"/>
        </w:rPr>
        <w:t xml:space="preserve">dicho plazo venció el 27 de mayo de </w:t>
      </w:r>
      <w:r w:rsidR="00303057">
        <w:rPr>
          <w:rFonts w:ascii="Tahoma" w:hAnsi="Tahoma" w:cs="Tahoma"/>
          <w:b/>
          <w:sz w:val="22"/>
          <w:szCs w:val="22"/>
        </w:rPr>
        <w:t>2010</w:t>
      </w:r>
      <w:r w:rsidRPr="00A037F2">
        <w:rPr>
          <w:rFonts w:ascii="Tahoma" w:hAnsi="Tahoma" w:cs="Tahoma"/>
          <w:sz w:val="22"/>
          <w:szCs w:val="22"/>
        </w:rPr>
        <w:t>, sin que el postor adjudicatario acudiera a suscribir el contrato y sin que presentara la documentación requerida.</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rPr>
        <w:t xml:space="preserve">En torno a lo señalado, el Reglamento establece que cuando el ganador de la buena pro no se presente dentro del plazo otorgado, perderá automáticamente la buena pro, debiendo la Entidad llamar al postor que ocupó al segundo lugar en el orden de prelación, procediéndose conforme a los plazos establecidos para la citación. </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rPr>
        <w:t xml:space="preserve">De acuerdo a la información obrante en autos, </w:t>
      </w:r>
      <w:r w:rsidRPr="00A037F2">
        <w:rPr>
          <w:rFonts w:ascii="Tahoma" w:hAnsi="Tahoma" w:cs="Tahoma"/>
          <w:b/>
          <w:sz w:val="22"/>
          <w:szCs w:val="22"/>
        </w:rPr>
        <w:t>el 31 de mayo de 2010</w:t>
      </w:r>
      <w:r w:rsidRPr="00A037F2">
        <w:rPr>
          <w:rFonts w:ascii="Tahoma" w:hAnsi="Tahoma" w:cs="Tahoma"/>
          <w:sz w:val="22"/>
          <w:szCs w:val="22"/>
        </w:rPr>
        <w:t xml:space="preserve"> la Entidad </w:t>
      </w:r>
      <w:r w:rsidRPr="00A037F2">
        <w:rPr>
          <w:rFonts w:ascii="Tahoma" w:hAnsi="Tahoma" w:cs="Tahoma"/>
          <w:b/>
          <w:sz w:val="22"/>
          <w:szCs w:val="22"/>
        </w:rPr>
        <w:t>citó al postor que ocupó el segundo lugar en el orden de prelación</w:t>
      </w:r>
      <w:r w:rsidRPr="00A037F2">
        <w:rPr>
          <w:rFonts w:ascii="Tahoma" w:hAnsi="Tahoma" w:cs="Tahoma"/>
          <w:sz w:val="22"/>
          <w:szCs w:val="22"/>
        </w:rPr>
        <w:t xml:space="preserve">, es decir, a la empresa J&amp;N SEGURIDAD Y VIGILANCIA PRIVADA S.A.C. mediante el Oficio Nº 374-2010/GAF-FONAFE, de acuerdo al tracto administrativo anteriormente detallado, es decir, entre los dos (2) días siguientes al consentimiento de la pérdida de la buena pro sufrida por el adjudicatario (entre el 28 y 31 de mayo). </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rPr>
        <w:t xml:space="preserve">Por lo tanto, en el caso bajo análisis se ha llegado a acreditar que la Entidad </w:t>
      </w:r>
      <w:r w:rsidRPr="00A037F2">
        <w:rPr>
          <w:rFonts w:ascii="Tahoma" w:hAnsi="Tahoma" w:cs="Tahoma"/>
          <w:b/>
          <w:sz w:val="22"/>
          <w:szCs w:val="22"/>
        </w:rPr>
        <w:t>siguió el procedimiento establecido para citar al postor beneficiado con la Buena Pro a fin de suscribir el contrato</w:t>
      </w:r>
      <w:r w:rsidRPr="00A037F2">
        <w:rPr>
          <w:rFonts w:ascii="Tahoma" w:hAnsi="Tahoma" w:cs="Tahoma"/>
          <w:sz w:val="22"/>
          <w:szCs w:val="22"/>
        </w:rPr>
        <w:t>, de conformidad con el procedimiento establecido en el artículo 148 del Reglamento.</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rPr>
        <w:t xml:space="preserve">En ese orden de ideas, al establecerse que la citación para la suscripción del contrato se produjo de acuerdo a la normativa en contratación pública, corresponde a este Colegiado determinar si dicha conducta resultó justificada o no, en tanto que solamente el incumplimiento que obedece a causas injustificadas atribuibles a los contratistas es sancionable administrativamente, en estricta observancia del Principio de Tipicidad previsto en el artículo 230º de la </w:t>
      </w:r>
      <w:r w:rsidRPr="00A037F2">
        <w:rPr>
          <w:rFonts w:ascii="Tahoma" w:hAnsi="Tahoma" w:cs="Tahoma"/>
          <w:sz w:val="22"/>
          <w:szCs w:val="22"/>
        </w:rPr>
        <w:lastRenderedPageBreak/>
        <w:t>Ley Nº 27444 – Ley del Procedimiento Administrativo General, en cuya virtud sólo constituyen conductas sancionables administrativamente las infracciones previstas expresamente en normas con rango de ley mediante su tipificación como tales, sin admitir interpretación extensiva o por analogía.</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rPr>
        <w:t>Sobre el particular, se aprecia que el Postor manifestó su negativa a suscribir el contrato justificando su actitud debido a un descuido en la cotización remitida a la Entidad a fin que ella estableciera su valor referencial, por lo que al momento de revisar la documentación a presentar y al realizar los trámites documentarios, así como al percatarse de los costos por adquisición de los bienes solicitados concluyeron que la cotización presentada a la Entidad no contempló todos los conceptos que involucraban la prestación del servicio materia de convocatoria. En ese sentido, sostuvo que el asumir la obligación al suscribir el respectivo contrato significaría una pérdida económica y atentaría contra su sostenibilidad financiera; es por ello que mediante carta S/N de fecha 21 de julio de 2010 comunica a la Entidad su negativa a suscribir el contrato.</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rPr>
        <w:t>Al respecto, de la revisión de las Bases Integradas se puede constatar que el valor referencial asciende a la suma de S/. 285,600.42 (Doscientos ochenta y cinco mil seiscientos y 42/100 Nuevos Soles), y que el valor adjudicado es de S/ 273,880.25 (Doscientos setenta y tres mil ochocientos ochenta y 25/100 Nuevos Soles) de acuerdo a la Propuesta Económica del Postor.</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rPr>
        <w:t>De otro lado, cabe señalar que este Tribunal solicitó información adicional a la Entidad mediante decreto del 14 de julio de 2011 a fin de conocer cuál fue la cotización realizada por diferentes proveedoras del servicio a contratar.</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lang w:val="es-PE"/>
        </w:rPr>
      </w:pPr>
      <w:r w:rsidRPr="00A037F2">
        <w:rPr>
          <w:rFonts w:ascii="Tahoma" w:hAnsi="Tahoma" w:cs="Tahoma"/>
          <w:sz w:val="22"/>
          <w:szCs w:val="22"/>
        </w:rPr>
        <w:t>Sobre el particular, mediante Oficio Nº 061-2011/GL-FONAFE del 19 de julio de 2011, la Entidad remitió las diferentes cotizaciones resultando lo siguiente:</w:t>
      </w:r>
    </w:p>
    <w:p w:rsidR="00A037F2" w:rsidRPr="00A037F2" w:rsidRDefault="00A037F2" w:rsidP="00A037F2">
      <w:pPr>
        <w:pStyle w:val="Prrafodelista"/>
        <w:jc w:val="both"/>
        <w:rPr>
          <w:rFonts w:ascii="Tahoma" w:hAnsi="Tahoma" w:cs="Tahoma"/>
          <w:sz w:val="22"/>
          <w:szCs w:val="22"/>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36"/>
        <w:gridCol w:w="1985"/>
      </w:tblGrid>
      <w:tr w:rsidR="00A037F2" w:rsidRPr="00A037F2" w:rsidTr="00A5153D">
        <w:tc>
          <w:tcPr>
            <w:tcW w:w="4536" w:type="dxa"/>
          </w:tcPr>
          <w:p w:rsidR="00A037F2" w:rsidRPr="00A037F2" w:rsidRDefault="00A037F2" w:rsidP="00A5153D">
            <w:pPr>
              <w:pStyle w:val="Textoindependiente"/>
              <w:widowControl w:val="0"/>
              <w:tabs>
                <w:tab w:val="left" w:pos="2410"/>
              </w:tabs>
              <w:suppressAutoHyphens/>
              <w:spacing w:after="0"/>
              <w:jc w:val="both"/>
              <w:rPr>
                <w:rFonts w:ascii="Tahoma" w:hAnsi="Tahoma" w:cs="Tahoma"/>
                <w:b/>
              </w:rPr>
            </w:pPr>
            <w:r w:rsidRPr="00A037F2">
              <w:rPr>
                <w:rFonts w:ascii="Tahoma" w:hAnsi="Tahoma" w:cs="Tahoma"/>
                <w:b/>
                <w:sz w:val="22"/>
                <w:szCs w:val="22"/>
              </w:rPr>
              <w:t>POSTOR</w:t>
            </w:r>
          </w:p>
        </w:tc>
        <w:tc>
          <w:tcPr>
            <w:tcW w:w="1985" w:type="dxa"/>
          </w:tcPr>
          <w:p w:rsidR="00A037F2" w:rsidRPr="00A037F2" w:rsidRDefault="00A037F2" w:rsidP="00A5153D">
            <w:pPr>
              <w:pStyle w:val="Textoindependiente"/>
              <w:widowControl w:val="0"/>
              <w:tabs>
                <w:tab w:val="left" w:pos="2410"/>
              </w:tabs>
              <w:suppressAutoHyphens/>
              <w:spacing w:after="0"/>
              <w:jc w:val="both"/>
              <w:rPr>
                <w:rFonts w:ascii="Tahoma" w:hAnsi="Tahoma" w:cs="Tahoma"/>
                <w:b/>
              </w:rPr>
            </w:pPr>
            <w:r w:rsidRPr="00A037F2">
              <w:rPr>
                <w:rFonts w:ascii="Tahoma" w:hAnsi="Tahoma" w:cs="Tahoma"/>
                <w:b/>
                <w:sz w:val="22"/>
                <w:szCs w:val="22"/>
              </w:rPr>
              <w:t>COTIZACION</w:t>
            </w:r>
          </w:p>
        </w:tc>
      </w:tr>
      <w:tr w:rsidR="00A037F2" w:rsidRPr="00A037F2" w:rsidTr="00A5153D">
        <w:tc>
          <w:tcPr>
            <w:tcW w:w="4536" w:type="dxa"/>
          </w:tcPr>
          <w:p w:rsidR="00A037F2" w:rsidRPr="00A037F2" w:rsidRDefault="00A037F2" w:rsidP="00A5153D">
            <w:pPr>
              <w:pStyle w:val="Textoindependiente"/>
              <w:widowControl w:val="0"/>
              <w:tabs>
                <w:tab w:val="left" w:pos="2410"/>
              </w:tabs>
              <w:suppressAutoHyphens/>
              <w:spacing w:after="0"/>
              <w:jc w:val="both"/>
              <w:rPr>
                <w:rFonts w:ascii="Tahoma" w:hAnsi="Tahoma" w:cs="Tahoma"/>
              </w:rPr>
            </w:pPr>
            <w:r w:rsidRPr="00A037F2">
              <w:rPr>
                <w:rFonts w:ascii="Tahoma" w:hAnsi="Tahoma" w:cs="Tahoma"/>
                <w:sz w:val="22"/>
                <w:szCs w:val="22"/>
              </w:rPr>
              <w:t>DEVICEM</w:t>
            </w:r>
          </w:p>
        </w:tc>
        <w:tc>
          <w:tcPr>
            <w:tcW w:w="1985" w:type="dxa"/>
          </w:tcPr>
          <w:p w:rsidR="00A037F2" w:rsidRPr="00A037F2" w:rsidRDefault="00A037F2" w:rsidP="00A5153D">
            <w:pPr>
              <w:pStyle w:val="Textoindependiente"/>
              <w:widowControl w:val="0"/>
              <w:tabs>
                <w:tab w:val="left" w:pos="2410"/>
              </w:tabs>
              <w:suppressAutoHyphens/>
              <w:spacing w:after="0"/>
              <w:jc w:val="both"/>
              <w:rPr>
                <w:rFonts w:ascii="Tahoma" w:hAnsi="Tahoma" w:cs="Tahoma"/>
              </w:rPr>
            </w:pPr>
            <w:r w:rsidRPr="00A037F2">
              <w:rPr>
                <w:rFonts w:ascii="Tahoma" w:hAnsi="Tahoma" w:cs="Tahoma"/>
                <w:sz w:val="22"/>
                <w:szCs w:val="22"/>
              </w:rPr>
              <w:t>S/. 337, 532.90</w:t>
            </w:r>
          </w:p>
        </w:tc>
      </w:tr>
      <w:tr w:rsidR="00A037F2" w:rsidRPr="00A037F2" w:rsidTr="00A5153D">
        <w:tc>
          <w:tcPr>
            <w:tcW w:w="4536" w:type="dxa"/>
          </w:tcPr>
          <w:p w:rsidR="00A037F2" w:rsidRPr="00A037F2" w:rsidRDefault="00A037F2" w:rsidP="00A5153D">
            <w:pPr>
              <w:pStyle w:val="Textoindependiente"/>
              <w:widowControl w:val="0"/>
              <w:tabs>
                <w:tab w:val="left" w:pos="2410"/>
              </w:tabs>
              <w:suppressAutoHyphens/>
              <w:spacing w:after="0"/>
              <w:jc w:val="both"/>
              <w:rPr>
                <w:rFonts w:ascii="Tahoma" w:hAnsi="Tahoma" w:cs="Tahoma"/>
              </w:rPr>
            </w:pPr>
            <w:r w:rsidRPr="00A037F2">
              <w:rPr>
                <w:rFonts w:ascii="Tahoma" w:hAnsi="Tahoma" w:cs="Tahoma"/>
                <w:sz w:val="22"/>
                <w:szCs w:val="22"/>
              </w:rPr>
              <w:t>J&amp;N SEGURIDAD Y VIGILANCIA PRIVADA SAC</w:t>
            </w:r>
          </w:p>
        </w:tc>
        <w:tc>
          <w:tcPr>
            <w:tcW w:w="1985" w:type="dxa"/>
          </w:tcPr>
          <w:p w:rsidR="00A037F2" w:rsidRPr="00A037F2" w:rsidRDefault="00A037F2" w:rsidP="00A5153D">
            <w:pPr>
              <w:pStyle w:val="Textoindependiente"/>
              <w:widowControl w:val="0"/>
              <w:tabs>
                <w:tab w:val="left" w:pos="2410"/>
              </w:tabs>
              <w:suppressAutoHyphens/>
              <w:spacing w:after="0"/>
              <w:jc w:val="both"/>
              <w:rPr>
                <w:rFonts w:ascii="Tahoma" w:hAnsi="Tahoma" w:cs="Tahoma"/>
              </w:rPr>
            </w:pPr>
            <w:r w:rsidRPr="00A037F2">
              <w:rPr>
                <w:rFonts w:ascii="Tahoma" w:hAnsi="Tahoma" w:cs="Tahoma"/>
                <w:sz w:val="22"/>
                <w:szCs w:val="22"/>
              </w:rPr>
              <w:t>S/. 285, 600.42</w:t>
            </w:r>
          </w:p>
        </w:tc>
      </w:tr>
      <w:tr w:rsidR="00A037F2" w:rsidRPr="00A037F2" w:rsidTr="00A5153D">
        <w:tc>
          <w:tcPr>
            <w:tcW w:w="4536" w:type="dxa"/>
          </w:tcPr>
          <w:p w:rsidR="00A037F2" w:rsidRPr="00A037F2" w:rsidRDefault="00A037F2" w:rsidP="00A5153D">
            <w:pPr>
              <w:pStyle w:val="Textoindependiente"/>
              <w:widowControl w:val="0"/>
              <w:tabs>
                <w:tab w:val="left" w:pos="2410"/>
              </w:tabs>
              <w:suppressAutoHyphens/>
              <w:spacing w:after="0"/>
              <w:jc w:val="both"/>
              <w:rPr>
                <w:rFonts w:ascii="Tahoma" w:hAnsi="Tahoma" w:cs="Tahoma"/>
              </w:rPr>
            </w:pPr>
            <w:r w:rsidRPr="00A037F2">
              <w:rPr>
                <w:rFonts w:ascii="Tahoma" w:hAnsi="Tahoma" w:cs="Tahoma"/>
                <w:sz w:val="22"/>
                <w:szCs w:val="22"/>
              </w:rPr>
              <w:t>WALGEM</w:t>
            </w:r>
          </w:p>
        </w:tc>
        <w:tc>
          <w:tcPr>
            <w:tcW w:w="1985" w:type="dxa"/>
          </w:tcPr>
          <w:p w:rsidR="00A037F2" w:rsidRPr="00A037F2" w:rsidRDefault="00A037F2" w:rsidP="00A5153D">
            <w:pPr>
              <w:pStyle w:val="Textoindependiente"/>
              <w:widowControl w:val="0"/>
              <w:tabs>
                <w:tab w:val="left" w:pos="2410"/>
              </w:tabs>
              <w:suppressAutoHyphens/>
              <w:spacing w:after="0"/>
              <w:jc w:val="both"/>
              <w:rPr>
                <w:rFonts w:ascii="Tahoma" w:hAnsi="Tahoma" w:cs="Tahoma"/>
              </w:rPr>
            </w:pPr>
            <w:r w:rsidRPr="00A037F2">
              <w:rPr>
                <w:rFonts w:ascii="Tahoma" w:hAnsi="Tahoma" w:cs="Tahoma"/>
                <w:sz w:val="22"/>
                <w:szCs w:val="22"/>
              </w:rPr>
              <w:t>S/. 301, 587.63</w:t>
            </w:r>
          </w:p>
        </w:tc>
      </w:tr>
    </w:tbl>
    <w:p w:rsidR="00A037F2" w:rsidRPr="00A037F2" w:rsidRDefault="00A037F2" w:rsidP="00A037F2">
      <w:pPr>
        <w:pStyle w:val="Textoindependiente"/>
        <w:widowControl w:val="0"/>
        <w:tabs>
          <w:tab w:val="left" w:pos="2410"/>
        </w:tabs>
        <w:suppressAutoHyphens/>
        <w:spacing w:after="0"/>
        <w:ind w:left="567"/>
        <w:jc w:val="both"/>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rPr>
      </w:pPr>
      <w:r w:rsidRPr="00A037F2">
        <w:rPr>
          <w:rFonts w:ascii="Tahoma" w:hAnsi="Tahoma" w:cs="Tahoma"/>
          <w:sz w:val="22"/>
          <w:szCs w:val="22"/>
        </w:rPr>
        <w:t>De lo señalado se puede apreciar que efectivamente la empresa J&amp;N J&amp; SEGURIDAD Y VIGILANCIA PRIVADA SAC presentó su cotización en S/. 285, 600.42, luego de haber llevado a cabo el análisis correspondiente necesario a fin de presentarse al proceso de selección.</w:t>
      </w:r>
    </w:p>
    <w:p w:rsidR="00A037F2" w:rsidRPr="00A037F2" w:rsidRDefault="00A037F2" w:rsidP="00A037F2">
      <w:pPr>
        <w:pStyle w:val="Textoindependiente"/>
        <w:widowControl w:val="0"/>
        <w:tabs>
          <w:tab w:val="left" w:pos="567"/>
        </w:tabs>
        <w:suppressAutoHyphens/>
        <w:spacing w:after="0"/>
        <w:ind w:left="567"/>
        <w:jc w:val="both"/>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rPr>
      </w:pPr>
      <w:r w:rsidRPr="00A037F2">
        <w:rPr>
          <w:rFonts w:ascii="Tahoma" w:hAnsi="Tahoma" w:cs="Tahoma"/>
          <w:sz w:val="22"/>
          <w:szCs w:val="22"/>
        </w:rPr>
        <w:t xml:space="preserve">Sin embargo, el Postor refiere que por descuido no tuvo en cuenta ciertos conceptos que observó al momento de revisar la documentación a presentar y al realizar los trámites documentarios, luego que se le adjudicase la Buena Pro. Sobre el particular cabe indicar que mediante la carta de citación para la </w:t>
      </w:r>
      <w:r w:rsidRPr="00A037F2">
        <w:rPr>
          <w:rFonts w:ascii="Tahoma" w:hAnsi="Tahoma" w:cs="Tahoma"/>
          <w:sz w:val="22"/>
          <w:szCs w:val="22"/>
        </w:rPr>
        <w:lastRenderedPageBreak/>
        <w:t xml:space="preserve">suscripción del contrato la Entidad le solicitó los documentos que son tal y como se encuentran descritos y especificados en las Bases Administrativas, por lo que es de apreciar que el Postor antes de presentarse al proceso de selección y decidir participar en él conocía cuales eran los trámites documentarios y los bienes que debía proveer como parte del servicio de seguridad y vigilancia materia de convocatoria, así como la posibilidad que saliera favorecido con el otorgamiento de la Buena Pro, que fue el objetivo a alcanzar. </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rPr>
      </w:pPr>
      <w:r w:rsidRPr="00A037F2">
        <w:rPr>
          <w:rFonts w:ascii="Tahoma" w:hAnsi="Tahoma" w:cs="Tahoma"/>
          <w:sz w:val="22"/>
          <w:szCs w:val="22"/>
        </w:rPr>
        <w:t>La Carta de citación referida es la que a continuación se presenta; y los documentos descritos en la misma guardan relación directa con lo solicitado en las Bases Integradas del proceso:</w:t>
      </w:r>
    </w:p>
    <w:p w:rsidR="00A037F2" w:rsidRPr="00A037F2" w:rsidRDefault="00A037F2" w:rsidP="00A037F2">
      <w:pPr>
        <w:pStyle w:val="Textoindependiente"/>
        <w:widowControl w:val="0"/>
        <w:tabs>
          <w:tab w:val="left" w:pos="2410"/>
        </w:tabs>
        <w:suppressAutoHyphens/>
        <w:spacing w:after="0"/>
        <w:ind w:left="567"/>
        <w:jc w:val="both"/>
        <w:rPr>
          <w:rFonts w:ascii="Tahoma" w:hAnsi="Tahoma" w:cs="Tahoma"/>
          <w:sz w:val="22"/>
          <w:szCs w:val="22"/>
        </w:rPr>
      </w:pPr>
      <w:r w:rsidRPr="00A037F2">
        <w:rPr>
          <w:rFonts w:ascii="Tahoma" w:hAnsi="Tahoma" w:cs="Tahoma"/>
          <w:noProof/>
          <w:sz w:val="22"/>
          <w:szCs w:val="22"/>
        </w:rPr>
        <w:lastRenderedPageBreak/>
        <w:drawing>
          <wp:inline distT="0" distB="0" distL="0" distR="0">
            <wp:extent cx="5306060" cy="7309485"/>
            <wp:effectExtent l="19050" t="0" r="8890" b="0"/>
            <wp:docPr id="1" name="Imagen 1" descr="CARTA DE CITAC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TA DE CITACION"/>
                    <pic:cNvPicPr>
                      <a:picLocks noChangeAspect="1" noChangeArrowheads="1"/>
                    </pic:cNvPicPr>
                  </pic:nvPicPr>
                  <pic:blipFill>
                    <a:blip r:embed="rId7"/>
                    <a:srcRect/>
                    <a:stretch>
                      <a:fillRect/>
                    </a:stretch>
                  </pic:blipFill>
                  <pic:spPr bwMode="auto">
                    <a:xfrm>
                      <a:off x="0" y="0"/>
                      <a:ext cx="5306060" cy="7309485"/>
                    </a:xfrm>
                    <a:prstGeom prst="rect">
                      <a:avLst/>
                    </a:prstGeom>
                    <a:noFill/>
                    <a:ln w="9525">
                      <a:noFill/>
                      <a:miter lim="800000"/>
                      <a:headEnd/>
                      <a:tailEnd/>
                    </a:ln>
                  </pic:spPr>
                </pic:pic>
              </a:graphicData>
            </a:graphic>
          </wp:inline>
        </w:drawing>
      </w:r>
    </w:p>
    <w:p w:rsidR="00A037F2" w:rsidRPr="00A037F2" w:rsidRDefault="00A037F2" w:rsidP="00A037F2">
      <w:pPr>
        <w:pStyle w:val="Textoindependiente"/>
        <w:widowControl w:val="0"/>
        <w:tabs>
          <w:tab w:val="left" w:pos="2410"/>
        </w:tabs>
        <w:suppressAutoHyphens/>
        <w:spacing w:after="0"/>
        <w:jc w:val="both"/>
        <w:rPr>
          <w:rFonts w:ascii="Tahoma" w:hAnsi="Tahoma" w:cs="Tahoma"/>
          <w:sz w:val="22"/>
          <w:szCs w:val="22"/>
        </w:rPr>
      </w:pPr>
      <w:r w:rsidRPr="00A037F2">
        <w:rPr>
          <w:rFonts w:ascii="Tahoma" w:hAnsi="Tahoma" w:cs="Tahoma"/>
          <w:noProof/>
          <w:sz w:val="22"/>
          <w:szCs w:val="22"/>
        </w:rPr>
        <w:lastRenderedPageBreak/>
        <w:drawing>
          <wp:inline distT="0" distB="0" distL="0" distR="0">
            <wp:extent cx="5306060" cy="7309485"/>
            <wp:effectExtent l="19050" t="0" r="8890" b="0"/>
            <wp:docPr id="2" name="Imagen 2" descr="CARTA DE CITACION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TA DE CITACION 001"/>
                    <pic:cNvPicPr>
                      <a:picLocks noChangeAspect="1" noChangeArrowheads="1"/>
                    </pic:cNvPicPr>
                  </pic:nvPicPr>
                  <pic:blipFill>
                    <a:blip r:embed="rId8"/>
                    <a:srcRect/>
                    <a:stretch>
                      <a:fillRect/>
                    </a:stretch>
                  </pic:blipFill>
                  <pic:spPr bwMode="auto">
                    <a:xfrm>
                      <a:off x="0" y="0"/>
                      <a:ext cx="5306060" cy="7309485"/>
                    </a:xfrm>
                    <a:prstGeom prst="rect">
                      <a:avLst/>
                    </a:prstGeom>
                    <a:noFill/>
                    <a:ln w="9525">
                      <a:noFill/>
                      <a:miter lim="800000"/>
                      <a:headEnd/>
                      <a:tailEnd/>
                    </a:ln>
                  </pic:spPr>
                </pic:pic>
              </a:graphicData>
            </a:graphic>
          </wp:inline>
        </w:drawing>
      </w:r>
    </w:p>
    <w:p w:rsidR="00A037F2" w:rsidRPr="00A037F2" w:rsidRDefault="00A037F2" w:rsidP="00A037F2">
      <w:pPr>
        <w:pStyle w:val="Textoindependiente"/>
        <w:widowControl w:val="0"/>
        <w:tabs>
          <w:tab w:val="left" w:pos="2410"/>
        </w:tabs>
        <w:suppressAutoHyphens/>
        <w:spacing w:after="0"/>
        <w:jc w:val="both"/>
        <w:rPr>
          <w:rFonts w:ascii="Tahoma" w:hAnsi="Tahoma" w:cs="Tahoma"/>
          <w:sz w:val="22"/>
          <w:szCs w:val="22"/>
        </w:rPr>
      </w:pPr>
    </w:p>
    <w:p w:rsidR="00A037F2" w:rsidRPr="00A037F2" w:rsidRDefault="00A037F2" w:rsidP="00A037F2">
      <w:pPr>
        <w:pStyle w:val="Textoindependiente"/>
        <w:widowControl w:val="0"/>
        <w:tabs>
          <w:tab w:val="left" w:pos="2410"/>
        </w:tabs>
        <w:suppressAutoHyphens/>
        <w:spacing w:after="0"/>
        <w:jc w:val="both"/>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rPr>
      </w:pPr>
      <w:r w:rsidRPr="00A037F2">
        <w:rPr>
          <w:rFonts w:ascii="Tahoma" w:hAnsi="Tahoma" w:cs="Tahoma"/>
          <w:sz w:val="22"/>
          <w:szCs w:val="22"/>
        </w:rPr>
        <w:lastRenderedPageBreak/>
        <w:t>Teniendo en consideración ello, no resulta justificable el argumento del Postor respecto de su negativa a suscribir el contrato correspondiente toda vez que fue de su conocimiento antes de decidir participar en el proceso de selección materia de análisis, de los requisitos, condiciones y reglas según las Bases Administrativas; por lo que el descuido al elaborar la cotización que le solicitó la Entidad, al cual atribuye su decisión de no suscribir el contrato, recae completamente en su esfera de responsabilidad, más aun teniendo en cuenta que tuvo la posibilidad de realizar las consultas y las observaciones a las Bases haciendo referencia al valor referencial, en la etapa correspondiente y previamente a la presentación de su propuesta, luego de lo cual acepta y declara conocer las Bases, condiciones y procedimientos del proceso de selección referido, así como a suscribir el contrato en caso de resultar favorecido con la Buena Pro, tal como señala el Anexo Nº 02 y Anexo Nº 03 de su Propuesta Técnica.</w:t>
      </w:r>
    </w:p>
    <w:p w:rsidR="00A037F2" w:rsidRPr="00A037F2" w:rsidRDefault="00A037F2" w:rsidP="00A037F2">
      <w:pPr>
        <w:pStyle w:val="Textoindependiente"/>
        <w:widowControl w:val="0"/>
        <w:tabs>
          <w:tab w:val="left" w:pos="567"/>
        </w:tabs>
        <w:suppressAutoHyphens/>
        <w:spacing w:after="0"/>
        <w:ind w:left="567"/>
        <w:jc w:val="both"/>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rPr>
      </w:pPr>
      <w:r w:rsidRPr="00A037F2">
        <w:rPr>
          <w:rFonts w:ascii="Tahoma" w:hAnsi="Tahoma" w:cs="Tahoma"/>
          <w:sz w:val="22"/>
          <w:szCs w:val="22"/>
        </w:rPr>
        <w:t>Igualmente, declaró que su Propuesta Económica incluía todos los tributos, seguros, transportes, inspecciones, pruebas, y de ser el caso, los costos laborales conforme a la legislación vigente, así como cualquier otro concepto que le sea aplicable y que pueda tener incidencia sobre el costo del servicio a contratar; lo que advierte nuevamente del conocimiento de las responsabilidades y la obligación que debía asumir el Postor si resultaba favorecido con la Buena Pro y del análisis costo-beneficio que tomó en cuenta previamente a la presentación de su Propuesta.</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rPr>
      </w:pPr>
      <w:r w:rsidRPr="00A037F2">
        <w:rPr>
          <w:rFonts w:ascii="Tahoma" w:hAnsi="Tahoma" w:cs="Tahoma"/>
          <w:sz w:val="22"/>
          <w:szCs w:val="22"/>
        </w:rPr>
        <w:t xml:space="preserve">Por lo expuesto, este Tribunal considera que el Postor no suscribió el Contrato de manera injustificada y que corresponde imponerle sanción administrativa por haber incurrido en la causal prevista en el </w:t>
      </w:r>
      <w:r w:rsidRPr="00A037F2">
        <w:rPr>
          <w:rFonts w:ascii="Tahoma" w:eastAsia="MS Mincho" w:hAnsi="Tahoma" w:cs="Tahoma"/>
          <w:sz w:val="22"/>
          <w:szCs w:val="22"/>
        </w:rPr>
        <w:t>literal a) del numeral 51.1 del artículo 51º de la Ley.</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rPr>
      </w:pPr>
      <w:r w:rsidRPr="00A037F2">
        <w:rPr>
          <w:rFonts w:ascii="Tahoma" w:hAnsi="Tahoma" w:cs="Tahoma"/>
          <w:sz w:val="22"/>
          <w:szCs w:val="22"/>
        </w:rPr>
        <w:t>En tal sentido, en el presente caso la sanción se aplicará de conformidad a lo señalado en el referido artículo</w:t>
      </w:r>
      <w:r w:rsidRPr="00A037F2">
        <w:rPr>
          <w:rFonts w:ascii="Tahoma" w:eastAsia="MS Mincho" w:hAnsi="Tahoma" w:cs="Tahoma"/>
          <w:sz w:val="22"/>
          <w:szCs w:val="22"/>
        </w:rPr>
        <w:t xml:space="preserve">, el mismo que </w:t>
      </w:r>
      <w:r w:rsidRPr="00A037F2">
        <w:rPr>
          <w:rFonts w:ascii="Tahoma" w:hAnsi="Tahoma" w:cs="Tahoma"/>
          <w:sz w:val="22"/>
          <w:szCs w:val="22"/>
        </w:rPr>
        <w:t xml:space="preserve">establecen que los proveedores, participantes, postores o contratistas que incurran en las causales establecidas en los literales a), b), c), d) e), f) h), i), j y k) serán sancionados con inhabilitación temporal para contratar con el Estado por un período no menor a un (1) año ni mayor a tres (3) años. </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rPr>
      </w:pPr>
      <w:r w:rsidRPr="00A037F2">
        <w:rPr>
          <w:rFonts w:ascii="Tahoma" w:hAnsi="Tahoma" w:cs="Tahoma"/>
          <w:sz w:val="22"/>
          <w:szCs w:val="22"/>
        </w:rPr>
        <w:t xml:space="preserve">Asimismo, la sanción que se impondrá deberá ser graduada dentro de los límites dispuestos en dichos artículos, para lo cual deberá tenerse en cuenta lo dispuesto por el artículo 245º del Reglamento. Sobre el particular, resulta importante traer a colación el Principio de Razonabilidad consagrado en el numeral 3) del artículo 230º de la Ley del Procedimiento Administrativo General, </w:t>
      </w:r>
      <w:r w:rsidRPr="00A037F2">
        <w:rPr>
          <w:rFonts w:ascii="Tahoma" w:eastAsia="Calibri" w:hAnsi="Tahoma" w:cs="Tahoma"/>
          <w:sz w:val="22"/>
          <w:szCs w:val="22"/>
          <w:lang w:eastAsia="en-US"/>
        </w:rPr>
        <w:t xml:space="preserve">modificado por Decreto Legislativo Nº 1029 del 24 de junio de 2008, por medio del cual las autoridades deben prever que la comisión de la conducta sancionable no resulte más ventajosa para el infractor que cumplir las normas infringidas o asumir la sanción. Sin embargo, las sanciones a ser aplicadas deberán ser </w:t>
      </w:r>
      <w:r w:rsidRPr="00A037F2">
        <w:rPr>
          <w:rFonts w:ascii="Tahoma" w:eastAsia="Calibri" w:hAnsi="Tahoma" w:cs="Tahoma"/>
          <w:sz w:val="22"/>
          <w:szCs w:val="22"/>
          <w:lang w:eastAsia="en-US"/>
        </w:rPr>
        <w:lastRenderedPageBreak/>
        <w:t>proporcionales al incumplimiento calificado como infracción. Es así que al graduarse la sanción a imponerse se debe observar los siguientes criterios: la naturaleza de la infracción, el daño causado, la reiterancia, la conducta procesal del infractor, entre otros.</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rPr>
      </w:pPr>
      <w:r w:rsidRPr="00A037F2">
        <w:rPr>
          <w:rFonts w:ascii="Tahoma" w:hAnsi="Tahoma" w:cs="Tahoma"/>
          <w:sz w:val="22"/>
          <w:szCs w:val="22"/>
        </w:rPr>
        <w:t>Atendiendo a lo señalado anteriormente, en lo que concierne a la naturaleza de la infracción, es importante señalar que la conducta denunciada reviste una considerable gravedad en la medida que desde el momento que el Postor asumió un compromiso frente a la Entidad, respecto del cual si salía favorecido con la Buena Pro se encontraba obligado a suscribir el contrato correspondiente y a cumplir cabalmente lo ofrecido, máxime si es conocido que ante un eventual incumplimiento, se verían seriamente afectados intereses de carácter público así como ha retrasado el cumplimiento de las metas institucionales de la Entidad.</w:t>
      </w:r>
    </w:p>
    <w:p w:rsidR="00A037F2" w:rsidRPr="00A037F2" w:rsidRDefault="00A037F2" w:rsidP="00A037F2">
      <w:pPr>
        <w:pStyle w:val="Prrafodelista"/>
        <w:rPr>
          <w:rFonts w:ascii="Tahoma" w:hAnsi="Tahoma" w:cs="Tahoma"/>
          <w:color w:val="000000"/>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rPr>
      </w:pPr>
      <w:r w:rsidRPr="00A037F2">
        <w:rPr>
          <w:rFonts w:ascii="Tahoma" w:hAnsi="Tahoma" w:cs="Tahoma"/>
          <w:color w:val="000000"/>
          <w:sz w:val="22"/>
          <w:szCs w:val="22"/>
        </w:rPr>
        <w:t>Ahora bien, respecto del daño causado debe tenerse en cuenta que el Postor obtuvo la buena pro del proceso de selección, y luego incumplió con su obligación de suscribir el contrato respectivo, situación que originó retraso en la contratación del servicio requerido por la Entidad, constituyendo ello un daño directo que la perjudicó, ya que tuvo que declarase desierto el proceso de selección</w:t>
      </w:r>
    </w:p>
    <w:p w:rsidR="00A037F2" w:rsidRPr="00A037F2" w:rsidRDefault="00A037F2" w:rsidP="00A037F2">
      <w:pPr>
        <w:pStyle w:val="Prrafodelista"/>
        <w:rPr>
          <w:rFonts w:ascii="Tahoma" w:hAnsi="Tahoma" w:cs="Tahoma"/>
          <w:color w:val="000000"/>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rPr>
      </w:pPr>
      <w:r w:rsidRPr="00A037F2">
        <w:rPr>
          <w:rFonts w:ascii="Tahoma" w:hAnsi="Tahoma" w:cs="Tahoma"/>
          <w:color w:val="000000"/>
          <w:sz w:val="22"/>
          <w:szCs w:val="22"/>
        </w:rPr>
        <w:t>En ese orden de ideas y respecto a la reiterancia, se advierte que la Contratista no se encuentra inhabilitado para participar en procesos de selección y contratar con el Estado.</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rPr>
      </w:pPr>
      <w:r w:rsidRPr="00A037F2">
        <w:rPr>
          <w:rFonts w:ascii="Tahoma" w:hAnsi="Tahoma" w:cs="Tahoma"/>
          <w:sz w:val="22"/>
          <w:szCs w:val="22"/>
        </w:rPr>
        <w:t>Respecto de la conducta procesal, conviene precisar que durante la sustanciación del presente procedimiento administrativo sancionador, la Contratista ha presentado los descargos dentro del plazo concedido.</w:t>
      </w:r>
    </w:p>
    <w:p w:rsidR="00A037F2" w:rsidRPr="00A037F2" w:rsidRDefault="00A037F2" w:rsidP="00A037F2">
      <w:pPr>
        <w:pStyle w:val="Prrafodelista"/>
        <w:rPr>
          <w:rFonts w:ascii="Tahoma" w:hAnsi="Tahoma" w:cs="Tahoma"/>
          <w:sz w:val="22"/>
          <w:szCs w:val="22"/>
        </w:rPr>
      </w:pPr>
    </w:p>
    <w:p w:rsidR="00A037F2" w:rsidRPr="00A037F2" w:rsidRDefault="00A037F2" w:rsidP="00A037F2">
      <w:pPr>
        <w:pStyle w:val="Textoindependiente"/>
        <w:widowControl w:val="0"/>
        <w:numPr>
          <w:ilvl w:val="0"/>
          <w:numId w:val="2"/>
        </w:numPr>
        <w:tabs>
          <w:tab w:val="left" w:pos="567"/>
        </w:tabs>
        <w:suppressAutoHyphens/>
        <w:spacing w:after="0"/>
        <w:ind w:left="567" w:hanging="567"/>
        <w:jc w:val="both"/>
        <w:rPr>
          <w:rFonts w:ascii="Tahoma" w:hAnsi="Tahoma" w:cs="Tahoma"/>
          <w:sz w:val="22"/>
          <w:szCs w:val="22"/>
        </w:rPr>
      </w:pPr>
      <w:r w:rsidRPr="00A037F2">
        <w:rPr>
          <w:rFonts w:ascii="Tahoma" w:hAnsi="Tahoma" w:cs="Tahoma"/>
          <w:sz w:val="22"/>
          <w:szCs w:val="22"/>
        </w:rPr>
        <w:t xml:space="preserve">Consecuentemente, en virtud de los hechos expuestos y </w:t>
      </w:r>
      <w:r w:rsidRPr="00A037F2">
        <w:rPr>
          <w:rFonts w:ascii="Tahoma" w:hAnsi="Tahoma" w:cs="Tahoma"/>
          <w:snapToGrid w:val="0"/>
          <w:sz w:val="22"/>
          <w:szCs w:val="22"/>
        </w:rPr>
        <w:t xml:space="preserve">en base a los criterios antes indicados, </w:t>
      </w:r>
      <w:r w:rsidRPr="00A037F2">
        <w:rPr>
          <w:rFonts w:ascii="Tahoma" w:hAnsi="Tahoma" w:cs="Tahoma"/>
          <w:sz w:val="22"/>
          <w:szCs w:val="22"/>
        </w:rPr>
        <w:t xml:space="preserve">corresponde imponerle a J&amp;N SEGURIDAD Y VIGILANCIA S.A.C., </w:t>
      </w:r>
      <w:r w:rsidRPr="00A037F2">
        <w:rPr>
          <w:rFonts w:ascii="Tahoma" w:eastAsia="MS Mincho" w:hAnsi="Tahoma" w:cs="Tahoma"/>
          <w:sz w:val="22"/>
          <w:szCs w:val="22"/>
        </w:rPr>
        <w:t>la</w:t>
      </w:r>
      <w:r w:rsidRPr="00A037F2">
        <w:rPr>
          <w:rFonts w:ascii="Tahoma" w:hAnsi="Tahoma" w:cs="Tahoma"/>
          <w:sz w:val="22"/>
          <w:szCs w:val="22"/>
        </w:rPr>
        <w:t xml:space="preserve"> sanción administrativa de inhabilitación temporal en sus derechos para participar en procesos de selección y/o contratar con el Estado, por el período de doce (12) meses.</w:t>
      </w:r>
    </w:p>
    <w:p w:rsidR="00A037F2" w:rsidRPr="00A037F2" w:rsidRDefault="00A037F2" w:rsidP="00A037F2">
      <w:pPr>
        <w:jc w:val="both"/>
        <w:rPr>
          <w:rFonts w:ascii="Tahoma" w:hAnsi="Tahoma" w:cs="Tahoma"/>
          <w:sz w:val="22"/>
          <w:szCs w:val="22"/>
        </w:rPr>
      </w:pPr>
    </w:p>
    <w:p w:rsidR="00A037F2" w:rsidRPr="00A037F2" w:rsidRDefault="00A037F2" w:rsidP="00A037F2">
      <w:pPr>
        <w:tabs>
          <w:tab w:val="left" w:pos="567"/>
        </w:tabs>
        <w:autoSpaceDE w:val="0"/>
        <w:autoSpaceDN w:val="0"/>
        <w:adjustRightInd w:val="0"/>
        <w:ind w:left="567" w:hanging="1440"/>
        <w:jc w:val="both"/>
        <w:rPr>
          <w:rFonts w:ascii="Tahoma" w:eastAsiaTheme="minorHAnsi" w:hAnsi="Tahoma" w:cs="Tahoma"/>
          <w:color w:val="000000"/>
          <w:sz w:val="22"/>
          <w:szCs w:val="22"/>
          <w:lang w:eastAsia="en-US"/>
        </w:rPr>
      </w:pPr>
      <w:r w:rsidRPr="00A037F2">
        <w:rPr>
          <w:rFonts w:ascii="Tahoma" w:eastAsiaTheme="minorHAnsi" w:hAnsi="Tahoma" w:cs="Tahoma"/>
          <w:color w:val="000000"/>
          <w:sz w:val="22"/>
          <w:szCs w:val="22"/>
          <w:lang w:eastAsia="en-US"/>
        </w:rPr>
        <w:tab/>
        <w:t xml:space="preserve">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w:t>
      </w:r>
      <w:r w:rsidRPr="00A037F2">
        <w:rPr>
          <w:rFonts w:ascii="Tahoma" w:eastAsiaTheme="minorHAnsi" w:hAnsi="Tahoma" w:cs="Tahoma"/>
          <w:color w:val="000000"/>
          <w:sz w:val="22"/>
          <w:szCs w:val="22"/>
          <w:lang w:eastAsia="en-US"/>
        </w:rPr>
        <w:lastRenderedPageBreak/>
        <w:t>Supremo № 006-2009-EF, analizados los antecedentes y luego de agotado el debate correspondiente, por unanimidad</w:t>
      </w:r>
    </w:p>
    <w:p w:rsidR="00A037F2" w:rsidRPr="00A037F2" w:rsidRDefault="00A037F2" w:rsidP="00A037F2">
      <w:pPr>
        <w:ind w:firstLine="426"/>
        <w:jc w:val="both"/>
        <w:rPr>
          <w:rFonts w:ascii="Tahoma" w:hAnsi="Tahoma" w:cs="Tahoma"/>
          <w:sz w:val="22"/>
          <w:szCs w:val="22"/>
        </w:rPr>
      </w:pPr>
    </w:p>
    <w:p w:rsidR="00A037F2" w:rsidRPr="00A037F2" w:rsidRDefault="00A037F2" w:rsidP="00A037F2">
      <w:pPr>
        <w:ind w:firstLine="567"/>
        <w:jc w:val="both"/>
        <w:rPr>
          <w:rFonts w:ascii="Tahoma" w:hAnsi="Tahoma" w:cs="Tahoma"/>
          <w:b/>
          <w:sz w:val="22"/>
          <w:szCs w:val="22"/>
        </w:rPr>
      </w:pPr>
      <w:r w:rsidRPr="00A037F2">
        <w:rPr>
          <w:rFonts w:ascii="Tahoma" w:hAnsi="Tahoma" w:cs="Tahoma"/>
          <w:b/>
          <w:sz w:val="22"/>
          <w:szCs w:val="22"/>
        </w:rPr>
        <w:t xml:space="preserve">LA SALA RESUELVE: </w:t>
      </w:r>
    </w:p>
    <w:p w:rsidR="00A037F2" w:rsidRPr="00A037F2" w:rsidRDefault="00A037F2" w:rsidP="00A037F2">
      <w:pPr>
        <w:ind w:firstLine="567"/>
        <w:jc w:val="both"/>
        <w:rPr>
          <w:rFonts w:ascii="Tahoma" w:hAnsi="Tahoma" w:cs="Tahoma"/>
          <w:b/>
          <w:sz w:val="22"/>
          <w:szCs w:val="22"/>
        </w:rPr>
      </w:pPr>
    </w:p>
    <w:p w:rsidR="00A037F2" w:rsidRPr="00A037F2" w:rsidRDefault="00A037F2" w:rsidP="00A037F2">
      <w:pPr>
        <w:pStyle w:val="Textoindependiente"/>
        <w:widowControl w:val="0"/>
        <w:numPr>
          <w:ilvl w:val="3"/>
          <w:numId w:val="6"/>
        </w:numPr>
        <w:tabs>
          <w:tab w:val="clear" w:pos="2880"/>
          <w:tab w:val="left" w:pos="0"/>
          <w:tab w:val="num" w:pos="567"/>
          <w:tab w:val="left" w:pos="2410"/>
        </w:tabs>
        <w:suppressAutoHyphens/>
        <w:spacing w:after="0"/>
        <w:ind w:left="567"/>
        <w:jc w:val="both"/>
        <w:rPr>
          <w:rFonts w:ascii="Tahoma" w:hAnsi="Tahoma" w:cs="Tahoma"/>
          <w:sz w:val="22"/>
          <w:szCs w:val="22"/>
        </w:rPr>
      </w:pPr>
      <w:r w:rsidRPr="00A037F2">
        <w:rPr>
          <w:rFonts w:ascii="Tahoma" w:hAnsi="Tahoma" w:cs="Tahoma"/>
          <w:sz w:val="22"/>
          <w:szCs w:val="22"/>
        </w:rPr>
        <w:t xml:space="preserve">Imponer a </w:t>
      </w:r>
      <w:r w:rsidRPr="00A037F2">
        <w:rPr>
          <w:rFonts w:ascii="Tahoma" w:hAnsi="Tahoma" w:cs="Tahoma"/>
          <w:b/>
          <w:sz w:val="22"/>
          <w:szCs w:val="22"/>
        </w:rPr>
        <w:t xml:space="preserve">J&amp;N SEGURIDAD Y VIGILANCIA S.A.C. </w:t>
      </w:r>
      <w:r w:rsidRPr="00A037F2">
        <w:rPr>
          <w:rFonts w:ascii="Tahoma" w:hAnsi="Tahoma" w:cs="Tahoma"/>
          <w:sz w:val="22"/>
          <w:szCs w:val="22"/>
        </w:rPr>
        <w:t xml:space="preserve">sanción administrativa de inhabilitación temporal por el período de doce (12) meses en sus derechos de participar en procesos de selección y contratar con el Estado, por haber incurrido en la causal prevista en el </w:t>
      </w:r>
      <w:r w:rsidRPr="00A037F2">
        <w:rPr>
          <w:rFonts w:ascii="Tahoma" w:eastAsia="MS Mincho" w:hAnsi="Tahoma" w:cs="Tahoma"/>
          <w:sz w:val="22"/>
          <w:szCs w:val="22"/>
        </w:rPr>
        <w:t>literal a) del numeral 51.1 del artículo 51º de la Ley, l</w:t>
      </w:r>
      <w:r w:rsidRPr="00A037F2">
        <w:rPr>
          <w:rFonts w:ascii="Tahoma" w:hAnsi="Tahoma" w:cs="Tahoma"/>
          <w:sz w:val="22"/>
          <w:szCs w:val="22"/>
        </w:rPr>
        <w:t>a cual entrará en vigencia a partir del sexto día hábil siguiente de notificada la Resolución.</w:t>
      </w:r>
    </w:p>
    <w:p w:rsidR="00A037F2" w:rsidRPr="00A037F2" w:rsidRDefault="00A037F2" w:rsidP="00A037F2">
      <w:pPr>
        <w:pStyle w:val="Textoindependiente"/>
        <w:widowControl w:val="0"/>
        <w:tabs>
          <w:tab w:val="left" w:pos="0"/>
          <w:tab w:val="left" w:pos="2410"/>
        </w:tabs>
        <w:suppressAutoHyphens/>
        <w:spacing w:after="0"/>
        <w:ind w:left="567"/>
        <w:jc w:val="both"/>
        <w:rPr>
          <w:rFonts w:ascii="Tahoma" w:hAnsi="Tahoma" w:cs="Tahoma"/>
          <w:sz w:val="22"/>
          <w:szCs w:val="22"/>
        </w:rPr>
      </w:pPr>
    </w:p>
    <w:p w:rsidR="00A037F2" w:rsidRPr="00A037F2" w:rsidRDefault="00A037F2" w:rsidP="00A037F2">
      <w:pPr>
        <w:pStyle w:val="Textoindependiente"/>
        <w:widowControl w:val="0"/>
        <w:numPr>
          <w:ilvl w:val="3"/>
          <w:numId w:val="6"/>
        </w:numPr>
        <w:tabs>
          <w:tab w:val="clear" w:pos="2880"/>
          <w:tab w:val="left" w:pos="0"/>
          <w:tab w:val="num" w:pos="567"/>
          <w:tab w:val="left" w:pos="2410"/>
        </w:tabs>
        <w:suppressAutoHyphens/>
        <w:spacing w:after="0"/>
        <w:ind w:left="567"/>
        <w:jc w:val="both"/>
        <w:rPr>
          <w:rFonts w:ascii="Tahoma" w:hAnsi="Tahoma" w:cs="Tahoma"/>
          <w:sz w:val="22"/>
          <w:szCs w:val="22"/>
        </w:rPr>
      </w:pPr>
      <w:r w:rsidRPr="00A037F2">
        <w:rPr>
          <w:rFonts w:ascii="Tahoma" w:hAnsi="Tahoma" w:cs="Tahoma"/>
          <w:sz w:val="22"/>
          <w:szCs w:val="22"/>
        </w:rPr>
        <w:t xml:space="preserve">Comunicar la Resolución al Registro Nacional de Proveedores del Organismo Supervisor de las Contrataciones del Estado (OSCE). </w:t>
      </w:r>
    </w:p>
    <w:p w:rsidR="00A037F2" w:rsidRPr="00A037F2" w:rsidRDefault="00A037F2" w:rsidP="00A037F2">
      <w:pPr>
        <w:pStyle w:val="Prrafodelista"/>
        <w:ind w:left="426"/>
        <w:jc w:val="both"/>
        <w:rPr>
          <w:rFonts w:ascii="Tahoma" w:hAnsi="Tahoma" w:cs="Tahoma"/>
          <w:color w:val="000000" w:themeColor="text1"/>
          <w:sz w:val="22"/>
          <w:szCs w:val="22"/>
          <w:lang w:val="es-ES"/>
        </w:rPr>
      </w:pPr>
    </w:p>
    <w:p w:rsidR="00A037F2" w:rsidRPr="00A037F2" w:rsidRDefault="00A037F2" w:rsidP="00A037F2">
      <w:pPr>
        <w:pStyle w:val="Textoindependiente21"/>
        <w:ind w:firstLine="567"/>
        <w:rPr>
          <w:rFonts w:cs="Tahoma"/>
          <w:szCs w:val="22"/>
        </w:rPr>
      </w:pPr>
      <w:r w:rsidRPr="00A037F2">
        <w:rPr>
          <w:rFonts w:cs="Tahoma"/>
          <w:szCs w:val="22"/>
        </w:rPr>
        <w:t>Regístrese, comuníquese y publíquese.</w:t>
      </w:r>
    </w:p>
    <w:p w:rsidR="00A037F2" w:rsidRPr="00A037F2" w:rsidRDefault="00A037F2" w:rsidP="00A037F2">
      <w:pPr>
        <w:jc w:val="center"/>
        <w:rPr>
          <w:rFonts w:ascii="Tahoma" w:hAnsi="Tahoma" w:cs="Tahoma"/>
          <w:b/>
          <w:sz w:val="22"/>
          <w:szCs w:val="22"/>
        </w:rPr>
      </w:pPr>
    </w:p>
    <w:p w:rsidR="00A037F2" w:rsidRPr="00A037F2" w:rsidRDefault="00A037F2" w:rsidP="00A037F2">
      <w:pPr>
        <w:jc w:val="center"/>
        <w:rPr>
          <w:rFonts w:ascii="Tahoma" w:hAnsi="Tahoma" w:cs="Tahoma"/>
          <w:b/>
          <w:sz w:val="22"/>
          <w:szCs w:val="22"/>
        </w:rPr>
      </w:pPr>
    </w:p>
    <w:p w:rsidR="00A037F2" w:rsidRPr="00A037F2" w:rsidRDefault="00A037F2" w:rsidP="00A037F2">
      <w:pPr>
        <w:rPr>
          <w:rFonts w:ascii="Tahoma" w:hAnsi="Tahoma" w:cs="Tahoma"/>
          <w:b/>
          <w:sz w:val="22"/>
          <w:szCs w:val="22"/>
        </w:rPr>
      </w:pPr>
    </w:p>
    <w:p w:rsidR="00A037F2" w:rsidRPr="00A037F2" w:rsidRDefault="00A037F2" w:rsidP="00A037F2">
      <w:pPr>
        <w:rPr>
          <w:rFonts w:ascii="Tahoma" w:hAnsi="Tahoma" w:cs="Tahoma"/>
          <w:b/>
          <w:sz w:val="22"/>
          <w:szCs w:val="22"/>
        </w:rPr>
      </w:pPr>
    </w:p>
    <w:p w:rsidR="00A037F2" w:rsidRDefault="00A037F2" w:rsidP="00A037F2">
      <w:pPr>
        <w:jc w:val="center"/>
        <w:rPr>
          <w:rFonts w:ascii="Tahoma" w:hAnsi="Tahoma" w:cs="Tahoma"/>
          <w:b/>
          <w:sz w:val="22"/>
          <w:szCs w:val="22"/>
        </w:rPr>
      </w:pPr>
    </w:p>
    <w:p w:rsidR="00A037F2" w:rsidRDefault="00A037F2" w:rsidP="00A037F2">
      <w:pPr>
        <w:jc w:val="center"/>
        <w:rPr>
          <w:rFonts w:ascii="Tahoma" w:hAnsi="Tahoma" w:cs="Tahoma"/>
          <w:b/>
          <w:sz w:val="22"/>
          <w:szCs w:val="22"/>
        </w:rPr>
      </w:pPr>
    </w:p>
    <w:p w:rsidR="00A037F2" w:rsidRDefault="00A037F2" w:rsidP="00A037F2">
      <w:pPr>
        <w:jc w:val="center"/>
        <w:rPr>
          <w:rFonts w:ascii="Tahoma" w:hAnsi="Tahoma" w:cs="Tahoma"/>
          <w:b/>
          <w:sz w:val="22"/>
          <w:szCs w:val="22"/>
        </w:rPr>
      </w:pPr>
    </w:p>
    <w:p w:rsidR="00A037F2" w:rsidRPr="00A037F2" w:rsidRDefault="00A037F2" w:rsidP="00A037F2">
      <w:pPr>
        <w:jc w:val="center"/>
        <w:rPr>
          <w:rFonts w:ascii="Tahoma" w:hAnsi="Tahoma" w:cs="Tahoma"/>
          <w:b/>
          <w:sz w:val="22"/>
          <w:szCs w:val="22"/>
        </w:rPr>
      </w:pPr>
    </w:p>
    <w:p w:rsidR="00A037F2" w:rsidRPr="00A037F2" w:rsidRDefault="00A037F2" w:rsidP="00A037F2">
      <w:pPr>
        <w:jc w:val="center"/>
        <w:rPr>
          <w:rFonts w:ascii="Tahoma" w:hAnsi="Tahoma" w:cs="Tahoma"/>
          <w:b/>
          <w:shadow/>
          <w:sz w:val="22"/>
          <w:szCs w:val="22"/>
          <w:lang w:val="pt-BR"/>
        </w:rPr>
      </w:pPr>
      <w:r w:rsidRPr="00A037F2">
        <w:rPr>
          <w:rFonts w:ascii="Tahoma" w:hAnsi="Tahoma" w:cs="Tahoma"/>
          <w:b/>
          <w:shadow/>
          <w:sz w:val="22"/>
          <w:szCs w:val="22"/>
          <w:lang w:val="pt-BR"/>
        </w:rPr>
        <w:t>PRESIDENTE</w:t>
      </w:r>
    </w:p>
    <w:p w:rsidR="00A037F2" w:rsidRPr="00A037F2" w:rsidRDefault="00A037F2" w:rsidP="00A037F2">
      <w:pPr>
        <w:ind w:firstLine="708"/>
        <w:rPr>
          <w:rFonts w:ascii="Tahoma" w:hAnsi="Tahoma" w:cs="Tahoma"/>
          <w:b/>
          <w:shadow/>
          <w:sz w:val="22"/>
          <w:szCs w:val="22"/>
          <w:lang w:val="pt-BR"/>
        </w:rPr>
      </w:pPr>
    </w:p>
    <w:p w:rsidR="00A037F2" w:rsidRPr="00A037F2" w:rsidRDefault="00A037F2" w:rsidP="00A037F2">
      <w:pPr>
        <w:ind w:firstLine="708"/>
        <w:rPr>
          <w:rFonts w:ascii="Tahoma" w:hAnsi="Tahoma" w:cs="Tahoma"/>
          <w:b/>
          <w:shadow/>
          <w:sz w:val="22"/>
          <w:szCs w:val="22"/>
          <w:lang w:val="pt-BR"/>
        </w:rPr>
      </w:pPr>
      <w:r w:rsidRPr="00A037F2">
        <w:rPr>
          <w:rFonts w:ascii="Tahoma" w:hAnsi="Tahoma" w:cs="Tahoma"/>
          <w:b/>
          <w:shadow/>
          <w:sz w:val="22"/>
          <w:szCs w:val="22"/>
          <w:lang w:val="pt-BR"/>
        </w:rPr>
        <w:t xml:space="preserve">VOCAL           </w:t>
      </w:r>
      <w:r w:rsidRPr="00A037F2">
        <w:rPr>
          <w:rFonts w:ascii="Tahoma" w:hAnsi="Tahoma" w:cs="Tahoma"/>
          <w:b/>
          <w:shadow/>
          <w:sz w:val="22"/>
          <w:szCs w:val="22"/>
          <w:lang w:val="pt-BR"/>
        </w:rPr>
        <w:tab/>
      </w:r>
      <w:r w:rsidRPr="00A037F2">
        <w:rPr>
          <w:rFonts w:ascii="Tahoma" w:hAnsi="Tahoma" w:cs="Tahoma"/>
          <w:b/>
          <w:shadow/>
          <w:sz w:val="22"/>
          <w:szCs w:val="22"/>
          <w:lang w:val="pt-BR"/>
        </w:rPr>
        <w:tab/>
        <w:t xml:space="preserve">                                                                 VOCAL</w:t>
      </w:r>
    </w:p>
    <w:p w:rsidR="00A037F2" w:rsidRPr="00A037F2" w:rsidRDefault="00A037F2" w:rsidP="00A037F2">
      <w:pPr>
        <w:rPr>
          <w:rFonts w:ascii="Tahoma" w:hAnsi="Tahoma" w:cs="Tahoma"/>
          <w:sz w:val="22"/>
          <w:szCs w:val="22"/>
          <w:lang w:val="pt-BR"/>
        </w:rPr>
      </w:pPr>
    </w:p>
    <w:p w:rsidR="00A037F2" w:rsidRPr="00A037F2" w:rsidRDefault="00A037F2" w:rsidP="00A037F2">
      <w:pPr>
        <w:jc w:val="both"/>
        <w:rPr>
          <w:rFonts w:ascii="Tahoma" w:hAnsi="Tahoma" w:cs="Tahoma"/>
          <w:sz w:val="22"/>
          <w:szCs w:val="22"/>
          <w:lang w:val="pt-BR"/>
        </w:rPr>
      </w:pPr>
      <w:r w:rsidRPr="00A037F2">
        <w:rPr>
          <w:rFonts w:ascii="Tahoma" w:hAnsi="Tahoma" w:cs="Tahoma"/>
          <w:sz w:val="22"/>
          <w:szCs w:val="22"/>
          <w:lang w:val="pt-BR"/>
        </w:rPr>
        <w:t>ss.</w:t>
      </w:r>
    </w:p>
    <w:p w:rsidR="00A037F2" w:rsidRPr="00A037F2" w:rsidRDefault="00A037F2" w:rsidP="00A037F2">
      <w:pPr>
        <w:pStyle w:val="Textoindependiente21"/>
        <w:tabs>
          <w:tab w:val="left" w:pos="5250"/>
        </w:tabs>
        <w:rPr>
          <w:rFonts w:cs="Tahoma"/>
          <w:szCs w:val="22"/>
          <w:lang w:val="pt-BR"/>
        </w:rPr>
      </w:pPr>
      <w:r w:rsidRPr="00A037F2">
        <w:rPr>
          <w:rFonts w:cs="Tahoma"/>
          <w:szCs w:val="22"/>
          <w:lang w:val="pt-BR"/>
        </w:rPr>
        <w:t>Navas Rondón.</w:t>
      </w:r>
    </w:p>
    <w:p w:rsidR="00A037F2" w:rsidRPr="00A037F2" w:rsidRDefault="00A037F2" w:rsidP="00A037F2">
      <w:pPr>
        <w:pStyle w:val="Textoindependiente21"/>
        <w:tabs>
          <w:tab w:val="left" w:pos="5250"/>
        </w:tabs>
        <w:rPr>
          <w:rFonts w:cs="Tahoma"/>
          <w:szCs w:val="22"/>
          <w:lang w:val="pt-BR"/>
        </w:rPr>
      </w:pPr>
      <w:r w:rsidRPr="00A037F2">
        <w:rPr>
          <w:rFonts w:cs="Tahoma"/>
          <w:szCs w:val="22"/>
        </w:rPr>
        <w:t>Ramírez Maynetto.</w:t>
      </w:r>
    </w:p>
    <w:p w:rsidR="00A037F2" w:rsidRPr="00A037F2" w:rsidRDefault="00A037F2" w:rsidP="00A037F2">
      <w:pPr>
        <w:pStyle w:val="Textoindependiente21"/>
        <w:tabs>
          <w:tab w:val="left" w:pos="5250"/>
        </w:tabs>
        <w:rPr>
          <w:rFonts w:cs="Tahoma"/>
          <w:szCs w:val="22"/>
          <w:lang w:val="pt-BR"/>
        </w:rPr>
      </w:pPr>
      <w:r w:rsidRPr="00A037F2">
        <w:rPr>
          <w:rFonts w:cs="Tahoma"/>
          <w:szCs w:val="22"/>
          <w:lang w:val="pt-BR"/>
        </w:rPr>
        <w:t>Basulto Liewald.</w:t>
      </w:r>
    </w:p>
    <w:p w:rsidR="001D5C36" w:rsidRPr="00A037F2" w:rsidRDefault="0068474A">
      <w:pPr>
        <w:rPr>
          <w:sz w:val="22"/>
          <w:szCs w:val="22"/>
        </w:rPr>
      </w:pPr>
    </w:p>
    <w:sectPr w:rsidR="001D5C36" w:rsidRPr="00A037F2" w:rsidSect="00B96798">
      <w:headerReference w:type="default" r:id="rId9"/>
      <w:footerReference w:type="default" r:id="rId10"/>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474A" w:rsidRDefault="0068474A" w:rsidP="00A037F2">
      <w:r>
        <w:separator/>
      </w:r>
    </w:p>
  </w:endnote>
  <w:endnote w:type="continuationSeparator" w:id="1">
    <w:p w:rsidR="0068474A" w:rsidRDefault="0068474A" w:rsidP="00A037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752D8D">
            <w:pPr>
              <w:pStyle w:val="Piedepgina"/>
              <w:jc w:val="center"/>
            </w:pPr>
            <w:r>
              <w:t xml:space="preserve">Página </w:t>
            </w:r>
            <w:r w:rsidR="00F84461">
              <w:rPr>
                <w:b/>
              </w:rPr>
              <w:fldChar w:fldCharType="begin"/>
            </w:r>
            <w:r>
              <w:rPr>
                <w:b/>
              </w:rPr>
              <w:instrText>PAGE</w:instrText>
            </w:r>
            <w:r w:rsidR="00F84461">
              <w:rPr>
                <w:b/>
              </w:rPr>
              <w:fldChar w:fldCharType="separate"/>
            </w:r>
            <w:r w:rsidR="009D3DD3">
              <w:rPr>
                <w:b/>
                <w:noProof/>
              </w:rPr>
              <w:t>1</w:t>
            </w:r>
            <w:r w:rsidR="00F84461">
              <w:rPr>
                <w:b/>
              </w:rPr>
              <w:fldChar w:fldCharType="end"/>
            </w:r>
            <w:r>
              <w:t xml:space="preserve"> de </w:t>
            </w:r>
            <w:r w:rsidR="00F84461">
              <w:rPr>
                <w:b/>
              </w:rPr>
              <w:fldChar w:fldCharType="begin"/>
            </w:r>
            <w:r>
              <w:rPr>
                <w:b/>
              </w:rPr>
              <w:instrText>NUMPAGES</w:instrText>
            </w:r>
            <w:r w:rsidR="00F84461">
              <w:rPr>
                <w:b/>
              </w:rPr>
              <w:fldChar w:fldCharType="separate"/>
            </w:r>
            <w:r w:rsidR="009D3DD3">
              <w:rPr>
                <w:b/>
                <w:noProof/>
              </w:rPr>
              <w:t>12</w:t>
            </w:r>
            <w:r w:rsidR="00F84461">
              <w:rPr>
                <w:b/>
              </w:rPr>
              <w:fldChar w:fldCharType="end"/>
            </w:r>
          </w:p>
        </w:sdtContent>
      </w:sdt>
    </w:sdtContent>
  </w:sdt>
  <w:p w:rsidR="0035353E" w:rsidRDefault="0068474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474A" w:rsidRDefault="0068474A" w:rsidP="00A037F2">
      <w:r>
        <w:separator/>
      </w:r>
    </w:p>
  </w:footnote>
  <w:footnote w:type="continuationSeparator" w:id="1">
    <w:p w:rsidR="0068474A" w:rsidRDefault="0068474A" w:rsidP="00A037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DD3" w:rsidRDefault="009D3DD3" w:rsidP="009D3DD3">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3"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9D3DD3" w:rsidRDefault="009D3DD3" w:rsidP="009D3DD3">
    <w:pPr>
      <w:pStyle w:val="Encabezado"/>
      <w:rPr>
        <w:noProof/>
      </w:rPr>
    </w:pPr>
  </w:p>
  <w:p w:rsidR="009D3DD3" w:rsidRDefault="009D3DD3" w:rsidP="009D3DD3">
    <w:pPr>
      <w:pStyle w:val="Encabezado"/>
      <w:jc w:val="center"/>
      <w:rPr>
        <w:rFonts w:ascii="Monotype Corsiva" w:hAnsi="Monotype Corsiva"/>
        <w:b/>
        <w:sz w:val="44"/>
        <w:szCs w:val="44"/>
      </w:rPr>
    </w:pPr>
  </w:p>
  <w:p w:rsidR="009D3DD3" w:rsidRDefault="009D3DD3" w:rsidP="009D3DD3">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1321-2011-TC-S1</w:t>
    </w:r>
  </w:p>
  <w:p w:rsidR="009D3DD3" w:rsidRDefault="009D3DD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E2944"/>
    <w:multiLevelType w:val="hybridMultilevel"/>
    <w:tmpl w:val="611CDC2E"/>
    <w:lvl w:ilvl="0" w:tplc="4886970C">
      <w:start w:val="1"/>
      <w:numFmt w:val="decimal"/>
      <w:lvlText w:val="%1."/>
      <w:lvlJc w:val="left"/>
      <w:pPr>
        <w:tabs>
          <w:tab w:val="num" w:pos="720"/>
        </w:tabs>
        <w:ind w:left="720" w:hanging="360"/>
      </w:pPr>
      <w:rPr>
        <w:rFonts w:hint="default"/>
        <w:b/>
        <w:i w:val="0"/>
        <w:shadow/>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5628AEB0">
      <w:start w:val="1"/>
      <w:numFmt w:val="decimal"/>
      <w:lvlText w:val="%4."/>
      <w:lvlJc w:val="left"/>
      <w:pPr>
        <w:tabs>
          <w:tab w:val="num" w:pos="2880"/>
        </w:tabs>
        <w:ind w:left="2880" w:hanging="360"/>
      </w:pPr>
      <w:rPr>
        <w:b/>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20022FEA"/>
    <w:multiLevelType w:val="hybridMultilevel"/>
    <w:tmpl w:val="E29404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AF82561"/>
    <w:multiLevelType w:val="hybridMultilevel"/>
    <w:tmpl w:val="1498897C"/>
    <w:lvl w:ilvl="0" w:tplc="45262CF4">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nsid w:val="3B7B237C"/>
    <w:multiLevelType w:val="hybridMultilevel"/>
    <w:tmpl w:val="39EA2C98"/>
    <w:lvl w:ilvl="0" w:tplc="BA7CDBCC">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5"/>
        </w:tabs>
        <w:ind w:left="2345"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674E6DDC"/>
    <w:multiLevelType w:val="hybridMultilevel"/>
    <w:tmpl w:val="A9EC355C"/>
    <w:lvl w:ilvl="0" w:tplc="6BECAA84">
      <w:start w:val="1"/>
      <w:numFmt w:val="decimal"/>
      <w:lvlText w:val="%1."/>
      <w:lvlJc w:val="left"/>
      <w:pPr>
        <w:ind w:left="900" w:hanging="360"/>
      </w:pPr>
      <w:rPr>
        <w:rFonts w:hint="default"/>
        <w:b/>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num w:numId="1">
    <w:abstractNumId w:val="1"/>
  </w:num>
  <w:num w:numId="2">
    <w:abstractNumId w:val="5"/>
  </w:num>
  <w:num w:numId="3">
    <w:abstractNumId w:val="4"/>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A037F2"/>
    <w:rsid w:val="00196655"/>
    <w:rsid w:val="00303057"/>
    <w:rsid w:val="00496AD0"/>
    <w:rsid w:val="006554D6"/>
    <w:rsid w:val="0068474A"/>
    <w:rsid w:val="00752D8D"/>
    <w:rsid w:val="009D3DD3"/>
    <w:rsid w:val="00A037F2"/>
    <w:rsid w:val="00A60C53"/>
    <w:rsid w:val="00AB7D66"/>
    <w:rsid w:val="00F8446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7F2"/>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A037F2"/>
    <w:pPr>
      <w:spacing w:after="120"/>
    </w:pPr>
    <w:rPr>
      <w:sz w:val="16"/>
      <w:szCs w:val="16"/>
      <w:lang w:val="es-PE"/>
    </w:rPr>
  </w:style>
  <w:style w:type="character" w:customStyle="1" w:styleId="Textoindependiente3Car">
    <w:name w:val="Texto independiente 3 Car"/>
    <w:basedOn w:val="Fuentedeprrafopredeter"/>
    <w:link w:val="Textoindependiente3"/>
    <w:rsid w:val="00A037F2"/>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A037F2"/>
    <w:pPr>
      <w:jc w:val="both"/>
    </w:pPr>
    <w:rPr>
      <w:rFonts w:ascii="Tahoma" w:hAnsi="Tahoma"/>
      <w:sz w:val="22"/>
      <w:szCs w:val="20"/>
    </w:rPr>
  </w:style>
  <w:style w:type="paragraph" w:styleId="Prrafodelista">
    <w:name w:val="List Paragraph"/>
    <w:basedOn w:val="Normal"/>
    <w:uiPriority w:val="34"/>
    <w:qFormat/>
    <w:rsid w:val="00A037F2"/>
    <w:pPr>
      <w:widowControl w:val="0"/>
      <w:suppressAutoHyphens/>
      <w:ind w:left="708"/>
    </w:pPr>
    <w:rPr>
      <w:szCs w:val="20"/>
      <w:lang w:val="es-ES_tradnl"/>
    </w:rPr>
  </w:style>
  <w:style w:type="paragraph" w:styleId="Piedepgina">
    <w:name w:val="footer"/>
    <w:basedOn w:val="Normal"/>
    <w:link w:val="PiedepginaCar"/>
    <w:uiPriority w:val="99"/>
    <w:unhideWhenUsed/>
    <w:rsid w:val="00A037F2"/>
    <w:pPr>
      <w:tabs>
        <w:tab w:val="center" w:pos="4252"/>
        <w:tab w:val="right" w:pos="8504"/>
      </w:tabs>
    </w:pPr>
  </w:style>
  <w:style w:type="character" w:customStyle="1" w:styleId="PiedepginaCar">
    <w:name w:val="Pie de página Car"/>
    <w:basedOn w:val="Fuentedeprrafopredeter"/>
    <w:link w:val="Piedepgina"/>
    <w:uiPriority w:val="99"/>
    <w:rsid w:val="00A037F2"/>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A037F2"/>
    <w:pPr>
      <w:spacing w:after="120"/>
    </w:pPr>
  </w:style>
  <w:style w:type="character" w:customStyle="1" w:styleId="TextoindependienteCar">
    <w:name w:val="Texto independiente Car"/>
    <w:basedOn w:val="Fuentedeprrafopredeter"/>
    <w:link w:val="Textoindependiente"/>
    <w:uiPriority w:val="99"/>
    <w:rsid w:val="00A037F2"/>
    <w:rPr>
      <w:rFonts w:ascii="Times New Roman" w:eastAsia="Times New Roman" w:hAnsi="Times New Roman" w:cs="Times New Roman"/>
      <w:sz w:val="24"/>
      <w:szCs w:val="24"/>
      <w:lang w:eastAsia="es-ES"/>
    </w:rPr>
  </w:style>
  <w:style w:type="character" w:styleId="Textoennegrita">
    <w:name w:val="Strong"/>
    <w:basedOn w:val="Fuentedeprrafopredeter"/>
    <w:qFormat/>
    <w:rsid w:val="00A037F2"/>
    <w:rPr>
      <w:b/>
      <w:bCs/>
    </w:rPr>
  </w:style>
  <w:style w:type="paragraph" w:styleId="Textonotaalfinal">
    <w:name w:val="endnote text"/>
    <w:basedOn w:val="Normal"/>
    <w:link w:val="TextonotaalfinalCar"/>
    <w:uiPriority w:val="99"/>
    <w:semiHidden/>
    <w:unhideWhenUsed/>
    <w:rsid w:val="00A037F2"/>
    <w:rPr>
      <w:sz w:val="20"/>
      <w:szCs w:val="20"/>
    </w:rPr>
  </w:style>
  <w:style w:type="character" w:customStyle="1" w:styleId="TextonotaalfinalCar">
    <w:name w:val="Texto nota al final Car"/>
    <w:basedOn w:val="Fuentedeprrafopredeter"/>
    <w:link w:val="Textonotaalfinal"/>
    <w:uiPriority w:val="99"/>
    <w:semiHidden/>
    <w:rsid w:val="00A037F2"/>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A037F2"/>
    <w:rPr>
      <w:sz w:val="20"/>
      <w:szCs w:val="20"/>
    </w:rPr>
  </w:style>
  <w:style w:type="character" w:customStyle="1" w:styleId="TextonotapieCar">
    <w:name w:val="Texto nota pie Car"/>
    <w:basedOn w:val="Fuentedeprrafopredeter"/>
    <w:link w:val="Textonotapie"/>
    <w:uiPriority w:val="99"/>
    <w:semiHidden/>
    <w:rsid w:val="00A037F2"/>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A037F2"/>
    <w:rPr>
      <w:vertAlign w:val="superscript"/>
    </w:rPr>
  </w:style>
  <w:style w:type="paragraph" w:styleId="Sangradetextonormal">
    <w:name w:val="Body Text Indent"/>
    <w:basedOn w:val="Normal"/>
    <w:link w:val="SangradetextonormalCar"/>
    <w:uiPriority w:val="99"/>
    <w:rsid w:val="00A037F2"/>
    <w:pPr>
      <w:spacing w:after="120"/>
      <w:ind w:left="283"/>
    </w:pPr>
  </w:style>
  <w:style w:type="character" w:customStyle="1" w:styleId="SangradetextonormalCar">
    <w:name w:val="Sangría de texto normal Car"/>
    <w:basedOn w:val="Fuentedeprrafopredeter"/>
    <w:link w:val="Sangradetextonormal"/>
    <w:uiPriority w:val="99"/>
    <w:rsid w:val="00A037F2"/>
    <w:rPr>
      <w:rFonts w:ascii="Times New Roman" w:eastAsia="Times New Roman" w:hAnsi="Times New Roman" w:cs="Times New Roman"/>
      <w:sz w:val="24"/>
      <w:szCs w:val="24"/>
      <w:lang w:eastAsia="es-ES"/>
    </w:rPr>
  </w:style>
  <w:style w:type="paragraph" w:customStyle="1" w:styleId="p1">
    <w:name w:val="p1"/>
    <w:basedOn w:val="Normal"/>
    <w:rsid w:val="00A037F2"/>
    <w:pPr>
      <w:widowControl w:val="0"/>
      <w:tabs>
        <w:tab w:val="left" w:pos="16640"/>
      </w:tabs>
      <w:suppressAutoHyphens/>
      <w:spacing w:line="240" w:lineRule="atLeast"/>
      <w:ind w:left="7600"/>
      <w:jc w:val="both"/>
    </w:pPr>
    <w:rPr>
      <w:rFonts w:ascii="Times" w:hAnsi="Times"/>
      <w:szCs w:val="20"/>
      <w:lang w:eastAsia="ar-SA"/>
    </w:rPr>
  </w:style>
  <w:style w:type="paragraph" w:styleId="Textodeglobo">
    <w:name w:val="Balloon Text"/>
    <w:basedOn w:val="Normal"/>
    <w:link w:val="TextodegloboCar"/>
    <w:uiPriority w:val="99"/>
    <w:semiHidden/>
    <w:unhideWhenUsed/>
    <w:rsid w:val="00A037F2"/>
    <w:rPr>
      <w:rFonts w:ascii="Tahoma" w:hAnsi="Tahoma" w:cs="Tahoma"/>
      <w:sz w:val="16"/>
      <w:szCs w:val="16"/>
    </w:rPr>
  </w:style>
  <w:style w:type="character" w:customStyle="1" w:styleId="TextodegloboCar">
    <w:name w:val="Texto de globo Car"/>
    <w:basedOn w:val="Fuentedeprrafopredeter"/>
    <w:link w:val="Textodeglobo"/>
    <w:uiPriority w:val="99"/>
    <w:semiHidden/>
    <w:rsid w:val="00A037F2"/>
    <w:rPr>
      <w:rFonts w:ascii="Tahoma" w:eastAsia="Times New Roman" w:hAnsi="Tahoma" w:cs="Tahoma"/>
      <w:sz w:val="16"/>
      <w:szCs w:val="16"/>
      <w:lang w:eastAsia="es-ES"/>
    </w:rPr>
  </w:style>
  <w:style w:type="paragraph" w:styleId="Encabezado">
    <w:name w:val="header"/>
    <w:aliases w:val="maria,h"/>
    <w:basedOn w:val="Normal"/>
    <w:link w:val="EncabezadoCar"/>
    <w:uiPriority w:val="99"/>
    <w:semiHidden/>
    <w:unhideWhenUsed/>
    <w:rsid w:val="009D3DD3"/>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9D3DD3"/>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82395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12</Pages>
  <Words>3470</Words>
  <Characters>19085</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4</cp:revision>
  <cp:lastPrinted>2011-07-25T20:28:00Z</cp:lastPrinted>
  <dcterms:created xsi:type="dcterms:W3CDTF">2011-07-25T20:19:00Z</dcterms:created>
  <dcterms:modified xsi:type="dcterms:W3CDTF">2011-08-18T14:40:00Z</dcterms:modified>
</cp:coreProperties>
</file>